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CF3996" w:rsidTr="00CF3996">
        <w:trPr>
          <w:trHeight w:val="295"/>
          <w:jc w:val="center"/>
        </w:trPr>
        <w:tc>
          <w:tcPr>
            <w:tcW w:w="5049" w:type="dxa"/>
            <w:gridSpan w:val="3"/>
          </w:tcPr>
          <w:p w:rsidR="00CF3996" w:rsidRDefault="00CF3996">
            <w:pPr>
              <w:rPr>
                <w:rFonts w:ascii="Arial" w:hAnsi="Arial"/>
                <w:b/>
                <w:bCs/>
                <w:noProof w:val="0"/>
                <w:sz w:val="26"/>
                <w:szCs w:val="26"/>
                <w:rtl/>
              </w:rPr>
            </w:pPr>
          </w:p>
        </w:tc>
        <w:tc>
          <w:tcPr>
            <w:tcW w:w="3771" w:type="dxa"/>
            <w:hideMark/>
          </w:tcPr>
          <w:p w:rsidR="00CF3996" w:rsidRDefault="00CF3996">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969543717"/>
                <w:text w:multiLine="1"/>
              </w:sdtPr>
              <w:sdtEndPr/>
              <w:sdtContent>
                <w:r>
                  <w:rPr>
                    <w:rFonts w:ascii="Arial" w:hAnsi="Arial"/>
                    <w:b/>
                    <w:bCs/>
                    <w:noProof w:val="0"/>
                    <w:sz w:val="26"/>
                    <w:szCs w:val="26"/>
                    <w:rtl/>
                  </w:rPr>
                  <w:t>15</w:t>
                </w:r>
              </w:sdtContent>
            </w:sdt>
          </w:p>
        </w:tc>
      </w:tr>
      <w:tr w:rsidR="00CF3996" w:rsidTr="00CF3996">
        <w:trPr>
          <w:jc w:val="center"/>
        </w:trPr>
        <w:tc>
          <w:tcPr>
            <w:tcW w:w="743" w:type="dxa"/>
            <w:hideMark/>
          </w:tcPr>
          <w:p w:rsidR="00CF3996" w:rsidRDefault="00CF3996">
            <w:pPr>
              <w:jc w:val="both"/>
              <w:rPr>
                <w:rFonts w:ascii="Arial" w:hAnsi="Arial"/>
                <w:b/>
                <w:bCs/>
                <w:rtl/>
              </w:rPr>
            </w:pPr>
            <w:r>
              <w:rPr>
                <w:rFonts w:ascii="Arial" w:hAnsi="Arial"/>
                <w:b/>
                <w:bCs/>
                <w:rtl/>
              </w:rPr>
              <w:t xml:space="preserve">בפני </w:t>
            </w:r>
          </w:p>
        </w:tc>
        <w:tc>
          <w:tcPr>
            <w:tcW w:w="8077" w:type="dxa"/>
            <w:gridSpan w:val="3"/>
          </w:tcPr>
          <w:p w:rsidR="00CF3996" w:rsidRDefault="00CF3996" w:rsidP="00080A1F">
            <w:pPr>
              <w:rPr>
                <w:rFonts w:ascii="Arial" w:hAnsi="Arial"/>
                <w:b/>
                <w:bCs/>
              </w:rPr>
            </w:pPr>
            <w:r>
              <w:rPr>
                <w:rFonts w:ascii="Arial" w:hAnsi="Arial"/>
                <w:b/>
                <w:bCs/>
                <w:rtl/>
              </w:rPr>
              <w:t>כב' ה</w:t>
            </w:r>
            <w:sdt>
              <w:sdtPr>
                <w:rPr>
                  <w:rtl/>
                </w:rPr>
                <w:alias w:val="1574"/>
                <w:tag w:val="1574"/>
                <w:id w:val="705677356"/>
                <w:text w:multiLine="1"/>
              </w:sdtPr>
              <w:sdtEndPr/>
              <w:sdtContent>
                <w:r>
                  <w:rPr>
                    <w:rFonts w:ascii="Arial" w:hAnsi="Arial"/>
                    <w:b/>
                    <w:bCs/>
                    <w:rtl/>
                  </w:rPr>
                  <w:t>שופט</w:t>
                </w:r>
              </w:sdtContent>
            </w:sdt>
            <w:r>
              <w:rPr>
                <w:rFonts w:ascii="Arial" w:hAnsi="Arial"/>
                <w:b/>
                <w:bCs/>
                <w:rtl/>
              </w:rPr>
              <w:t xml:space="preserve">  </w:t>
            </w:r>
            <w:sdt>
              <w:sdtPr>
                <w:rPr>
                  <w:b/>
                  <w:bCs/>
                  <w:rtl/>
                </w:rPr>
                <w:alias w:val="1573"/>
                <w:tag w:val="1573"/>
                <w:id w:val="-1195075559"/>
                <w:text w:multiLine="1"/>
              </w:sdtPr>
              <w:sdtEndPr/>
              <w:sdtContent>
                <w:r>
                  <w:rPr>
                    <w:rFonts w:ascii="Arial" w:hAnsi="Arial"/>
                    <w:b/>
                    <w:bCs/>
                    <w:rtl/>
                  </w:rPr>
                  <w:t>תומר שלם</w:t>
                </w:r>
                <w:r>
                  <w:rPr>
                    <w:rFonts w:ascii="Arial" w:hAnsi="Arial"/>
                    <w:b/>
                    <w:bCs/>
                    <w:rtl/>
                  </w:rPr>
                  <w:br/>
                </w:r>
                <w:r w:rsidR="00080A1F">
                  <w:rPr>
                    <w:b/>
                    <w:bCs/>
                    <w:rtl/>
                  </w:rPr>
                  <w:br/>
                </w:r>
                <w:r w:rsidR="00080A1F">
                  <w:rPr>
                    <w:b/>
                    <w:bCs/>
                    <w:rtl/>
                  </w:rPr>
                  <w:br/>
                </w:r>
                <w:r>
                  <w:rPr>
                    <w:b/>
                    <w:bCs/>
                    <w:rtl/>
                  </w:rPr>
                  <w:t>בעניין עיזבון המנוחה ע</w:t>
                </w:r>
                <w:r w:rsidR="00080A1F">
                  <w:rPr>
                    <w:rFonts w:hint="cs"/>
                    <w:b/>
                    <w:bCs/>
                    <w:rtl/>
                  </w:rPr>
                  <w:t xml:space="preserve">' א' מ' ז"ל </w:t>
                </w:r>
                <w:r>
                  <w:rPr>
                    <w:b/>
                    <w:bCs/>
                    <w:rtl/>
                  </w:rPr>
                  <w:t xml:space="preserve"> </w:t>
                </w:r>
              </w:sdtContent>
            </w:sdt>
          </w:p>
          <w:p w:rsidR="00CF3996" w:rsidRPr="00080A1F" w:rsidRDefault="00CF3996">
            <w:pPr>
              <w:rPr>
                <w:rFonts w:ascii="Arial" w:hAnsi="Arial" w:cs="FrankRuehl"/>
                <w:sz w:val="28"/>
                <w:szCs w:val="28"/>
                <w:highlight w:val="yellow"/>
                <w:rtl/>
              </w:rPr>
            </w:pPr>
          </w:p>
        </w:tc>
      </w:tr>
      <w:tr w:rsidR="00CF3996" w:rsidTr="00CF3996">
        <w:trPr>
          <w:jc w:val="center"/>
        </w:trPr>
        <w:tc>
          <w:tcPr>
            <w:tcW w:w="3249" w:type="dxa"/>
            <w:gridSpan w:val="2"/>
          </w:tcPr>
          <w:p w:rsidR="00CF3996" w:rsidRDefault="00CF3996">
            <w:pPr>
              <w:bidi w:val="0"/>
              <w:spacing w:line="360" w:lineRule="auto"/>
              <w:jc w:val="right"/>
              <w:rPr>
                <w:b/>
                <w:bCs/>
                <w:sz w:val="26"/>
                <w:szCs w:val="26"/>
              </w:rPr>
            </w:pPr>
          </w:p>
          <w:sdt>
            <w:sdtPr>
              <w:rPr>
                <w:b/>
                <w:bCs/>
                <w:sz w:val="26"/>
                <w:szCs w:val="26"/>
              </w:rPr>
              <w:alias w:val="1180"/>
              <w:tag w:val="1180"/>
              <w:id w:val="1559975633"/>
              <w:text w:multiLine="1"/>
            </w:sdtPr>
            <w:sdtEndPr/>
            <w:sdtContent>
              <w:p w:rsidR="00CF3996" w:rsidRDefault="00CF3996" w:rsidP="00080A1F">
                <w:pPr>
                  <w:bidi w:val="0"/>
                  <w:spacing w:line="360" w:lineRule="auto"/>
                  <w:ind w:left="720"/>
                  <w:rPr>
                    <w:rFonts w:ascii="Arial" w:hAnsi="Arial"/>
                    <w:b/>
                    <w:bCs/>
                    <w:noProof w:val="0"/>
                    <w:sz w:val="26"/>
                    <w:szCs w:val="26"/>
                  </w:rPr>
                </w:pPr>
                <w:r>
                  <w:rPr>
                    <w:rFonts w:ascii="Arial" w:hAnsi="Arial"/>
                    <w:b/>
                    <w:bCs/>
                    <w:noProof w:val="0"/>
                    <w:sz w:val="26"/>
                    <w:szCs w:val="26"/>
                    <w:rtl/>
                  </w:rPr>
                  <w:t>המבקשת (התובעת)</w:t>
                </w:r>
              </w:p>
            </w:sdtContent>
          </w:sdt>
        </w:tc>
        <w:tc>
          <w:tcPr>
            <w:tcW w:w="5571" w:type="dxa"/>
            <w:gridSpan w:val="2"/>
          </w:tcPr>
          <w:p w:rsidR="00CF3996" w:rsidRDefault="00CF3996">
            <w:pPr>
              <w:spacing w:line="360" w:lineRule="auto"/>
              <w:rPr>
                <w:rFonts w:ascii="Arial" w:hAnsi="Arial"/>
                <w:b/>
                <w:bCs/>
                <w:noProof w:val="0"/>
                <w:sz w:val="26"/>
                <w:szCs w:val="26"/>
                <w:rtl/>
              </w:rPr>
            </w:pPr>
          </w:p>
          <w:p w:rsidR="00CF3996" w:rsidRDefault="00A153A0" w:rsidP="00080A1F">
            <w:pPr>
              <w:spacing w:line="360" w:lineRule="auto"/>
              <w:rPr>
                <w:b/>
                <w:bCs/>
                <w:noProof w:val="0"/>
                <w:sz w:val="26"/>
                <w:szCs w:val="26"/>
              </w:rPr>
            </w:pPr>
            <w:sdt>
              <w:sdtPr>
                <w:rPr>
                  <w:b/>
                  <w:bCs/>
                  <w:sz w:val="26"/>
                  <w:szCs w:val="26"/>
                  <w:rtl/>
                </w:rPr>
                <w:alias w:val="1478"/>
                <w:tag w:val="1478"/>
                <w:id w:val="-1896729429"/>
                <w:text w:multiLine="1"/>
              </w:sdtPr>
              <w:sdtEndPr/>
              <w:sdtContent>
                <w:r w:rsidR="00CF3996">
                  <w:rPr>
                    <w:rFonts w:ascii="Arial" w:hAnsi="Arial"/>
                    <w:b/>
                    <w:bCs/>
                    <w:noProof w:val="0"/>
                    <w:sz w:val="26"/>
                    <w:szCs w:val="26"/>
                    <w:rtl/>
                  </w:rPr>
                  <w:t>ר</w:t>
                </w:r>
                <w:r w:rsidR="00080A1F">
                  <w:rPr>
                    <w:rFonts w:ascii="Arial" w:hAnsi="Arial" w:hint="cs"/>
                    <w:b/>
                    <w:bCs/>
                    <w:noProof w:val="0"/>
                    <w:sz w:val="26"/>
                    <w:szCs w:val="26"/>
                    <w:rtl/>
                  </w:rPr>
                  <w:t xml:space="preserve">' </w:t>
                </w:r>
                <w:r w:rsidR="00CF3996">
                  <w:rPr>
                    <w:rFonts w:ascii="Arial" w:hAnsi="Arial"/>
                    <w:b/>
                    <w:bCs/>
                    <w:noProof w:val="0"/>
                    <w:sz w:val="26"/>
                    <w:szCs w:val="26"/>
                    <w:rtl/>
                  </w:rPr>
                  <w:t>א</w:t>
                </w:r>
                <w:r w:rsidR="00080A1F">
                  <w:rPr>
                    <w:rFonts w:ascii="Arial" w:hAnsi="Arial" w:hint="cs"/>
                    <w:b/>
                    <w:bCs/>
                    <w:noProof w:val="0"/>
                    <w:sz w:val="26"/>
                    <w:szCs w:val="26"/>
                    <w:rtl/>
                  </w:rPr>
                  <w:t xml:space="preserve">' </w:t>
                </w:r>
              </w:sdtContent>
            </w:sdt>
            <w:r w:rsidR="00CF3996">
              <w:rPr>
                <w:rFonts w:ascii="Arial" w:hAnsi="Arial"/>
                <w:b/>
                <w:bCs/>
                <w:noProof w:val="0"/>
                <w:sz w:val="26"/>
                <w:szCs w:val="26"/>
                <w:rtl/>
              </w:rPr>
              <w:t xml:space="preserve"> </w:t>
            </w:r>
            <w:sdt>
              <w:sdtPr>
                <w:rPr>
                  <w:b/>
                  <w:bCs/>
                  <w:sz w:val="26"/>
                  <w:szCs w:val="26"/>
                  <w:rtl/>
                </w:rPr>
                <w:alias w:val="2315"/>
                <w:tag w:val="2315"/>
                <w:id w:val="-454479908"/>
                <w:text w:multiLine="1"/>
              </w:sdtPr>
              <w:sdtEndPr/>
              <w:sdtContent>
                <w:r w:rsidR="00080A1F">
                  <w:rPr>
                    <w:rFonts w:ascii="Arial" w:hAnsi="Arial" w:hint="cs"/>
                    <w:b/>
                    <w:bCs/>
                    <w:noProof w:val="0"/>
                    <w:sz w:val="26"/>
                    <w:szCs w:val="26"/>
                    <w:rtl/>
                  </w:rPr>
                  <w:t xml:space="preserve"> </w:t>
                </w:r>
              </w:sdtContent>
            </w:sdt>
            <w:r w:rsidR="00CF3996">
              <w:rPr>
                <w:rFonts w:ascii="Arial" w:hAnsi="Arial"/>
                <w:b/>
                <w:bCs/>
                <w:noProof w:val="0"/>
                <w:sz w:val="26"/>
                <w:szCs w:val="26"/>
                <w:rtl/>
              </w:rPr>
              <w:t xml:space="preserve"> </w:t>
            </w:r>
            <w:sdt>
              <w:sdtPr>
                <w:rPr>
                  <w:b/>
                  <w:bCs/>
                  <w:sz w:val="26"/>
                  <w:szCs w:val="26"/>
                  <w:rtl/>
                </w:rPr>
                <w:alias w:val="2316"/>
                <w:tag w:val="2316"/>
                <w:id w:val="1341505390"/>
                <w:text w:multiLine="1"/>
              </w:sdtPr>
              <w:sdtEndPr/>
              <w:sdtContent>
                <w:r w:rsidR="00CF3996">
                  <w:rPr>
                    <w:rFonts w:ascii="Arial" w:hAnsi="Arial"/>
                    <w:b/>
                    <w:bCs/>
                    <w:noProof w:val="0"/>
                    <w:sz w:val="26"/>
                    <w:szCs w:val="26"/>
                    <w:rtl/>
                  </w:rPr>
                  <w:t xml:space="preserve"> </w:t>
                </w:r>
                <w:r w:rsidR="00CF3996">
                  <w:rPr>
                    <w:rFonts w:ascii="Arial" w:hAnsi="Arial"/>
                    <w:b/>
                    <w:bCs/>
                    <w:noProof w:val="0"/>
                    <w:sz w:val="26"/>
                    <w:szCs w:val="26"/>
                    <w:rtl/>
                  </w:rPr>
                  <w:br/>
                </w:r>
                <w:r w:rsidR="00CF3996">
                  <w:rPr>
                    <w:b/>
                    <w:bCs/>
                    <w:sz w:val="26"/>
                    <w:szCs w:val="26"/>
                    <w:rtl/>
                  </w:rPr>
                  <w:t>ע"י ב"כ עוה"ד רון עוזרי</w:t>
                </w:r>
              </w:sdtContent>
            </w:sdt>
          </w:p>
        </w:tc>
      </w:tr>
      <w:tr w:rsidR="00CF3996" w:rsidTr="00CF3996">
        <w:trPr>
          <w:jc w:val="center"/>
        </w:trPr>
        <w:tc>
          <w:tcPr>
            <w:tcW w:w="8820" w:type="dxa"/>
            <w:gridSpan w:val="4"/>
          </w:tcPr>
          <w:p w:rsidR="00CF3996" w:rsidRDefault="00CF3996">
            <w:pPr>
              <w:spacing w:line="360" w:lineRule="auto"/>
              <w:rPr>
                <w:rFonts w:ascii="Arial" w:hAnsi="Arial"/>
                <w:b/>
                <w:bCs/>
                <w:noProof w:val="0"/>
                <w:sz w:val="26"/>
                <w:szCs w:val="26"/>
              </w:rPr>
            </w:pPr>
          </w:p>
          <w:p w:rsidR="00CF3996" w:rsidRDefault="00CF3996">
            <w:pPr>
              <w:spacing w:line="360" w:lineRule="auto"/>
              <w:jc w:val="center"/>
              <w:rPr>
                <w:rFonts w:ascii="Arial" w:hAnsi="Arial"/>
                <w:b/>
                <w:bCs/>
                <w:noProof w:val="0"/>
                <w:sz w:val="26"/>
                <w:szCs w:val="26"/>
                <w:rtl/>
              </w:rPr>
            </w:pPr>
            <w:r>
              <w:rPr>
                <w:rFonts w:ascii="Arial" w:hAnsi="Arial"/>
                <w:b/>
                <w:bCs/>
                <w:noProof w:val="0"/>
                <w:sz w:val="26"/>
                <w:szCs w:val="26"/>
                <w:rtl/>
              </w:rPr>
              <w:t>נגד</w:t>
            </w:r>
          </w:p>
        </w:tc>
      </w:tr>
      <w:tr w:rsidR="00CF3996" w:rsidTr="00CF3996">
        <w:trPr>
          <w:jc w:val="center"/>
        </w:trPr>
        <w:tc>
          <w:tcPr>
            <w:tcW w:w="3249" w:type="dxa"/>
            <w:gridSpan w:val="2"/>
          </w:tcPr>
          <w:p w:rsidR="00CF3996" w:rsidRDefault="00CF3996">
            <w:pPr>
              <w:spacing w:line="360" w:lineRule="auto"/>
              <w:rPr>
                <w:b/>
                <w:bCs/>
                <w:sz w:val="26"/>
                <w:szCs w:val="26"/>
              </w:rPr>
            </w:pPr>
          </w:p>
          <w:p w:rsidR="00CF3996" w:rsidRDefault="00A153A0" w:rsidP="00080A1F">
            <w:pPr>
              <w:spacing w:line="360" w:lineRule="auto"/>
              <w:rPr>
                <w:rFonts w:ascii="Arial" w:hAnsi="Arial"/>
                <w:b/>
                <w:bCs/>
                <w:noProof w:val="0"/>
                <w:sz w:val="26"/>
                <w:szCs w:val="26"/>
                <w:rtl/>
              </w:rPr>
            </w:pPr>
            <w:sdt>
              <w:sdtPr>
                <w:rPr>
                  <w:b/>
                  <w:bCs/>
                  <w:sz w:val="26"/>
                  <w:szCs w:val="26"/>
                  <w:rtl/>
                </w:rPr>
                <w:alias w:val="1184"/>
                <w:tag w:val="1184"/>
                <w:id w:val="386307046"/>
                <w:text w:multiLine="1"/>
              </w:sdtPr>
              <w:sdtEndPr/>
              <w:sdtContent>
                <w:r w:rsidR="00080A1F">
                  <w:rPr>
                    <w:rFonts w:ascii="Arial" w:hAnsi="Arial" w:hint="cs"/>
                    <w:b/>
                    <w:bCs/>
                    <w:noProof w:val="0"/>
                    <w:sz w:val="26"/>
                    <w:szCs w:val="26"/>
                    <w:rtl/>
                  </w:rPr>
                  <w:t xml:space="preserve">       </w:t>
                </w:r>
                <w:r w:rsidR="00CF3996">
                  <w:rPr>
                    <w:rFonts w:ascii="Arial" w:hAnsi="Arial"/>
                    <w:b/>
                    <w:bCs/>
                    <w:noProof w:val="0"/>
                    <w:sz w:val="26"/>
                    <w:szCs w:val="26"/>
                    <w:rtl/>
                  </w:rPr>
                  <w:t>המשיבה</w:t>
                </w:r>
                <w:r w:rsidR="00CF3996">
                  <w:rPr>
                    <w:b/>
                    <w:bCs/>
                    <w:sz w:val="26"/>
                    <w:szCs w:val="26"/>
                    <w:rtl/>
                  </w:rPr>
                  <w:t xml:space="preserve"> (הנתבעת)</w:t>
                </w:r>
              </w:sdtContent>
            </w:sdt>
          </w:p>
        </w:tc>
        <w:tc>
          <w:tcPr>
            <w:tcW w:w="5571" w:type="dxa"/>
            <w:gridSpan w:val="2"/>
          </w:tcPr>
          <w:p w:rsidR="00CF3996" w:rsidRDefault="00CF3996">
            <w:pPr>
              <w:spacing w:line="360" w:lineRule="auto"/>
              <w:rPr>
                <w:rFonts w:ascii="Arial" w:hAnsi="Arial"/>
                <w:b/>
                <w:bCs/>
                <w:noProof w:val="0"/>
                <w:sz w:val="26"/>
                <w:szCs w:val="26"/>
              </w:rPr>
            </w:pPr>
          </w:p>
          <w:p w:rsidR="00CF3996" w:rsidRDefault="00A153A0" w:rsidP="00080A1F">
            <w:pPr>
              <w:spacing w:line="360" w:lineRule="auto"/>
              <w:rPr>
                <w:b/>
                <w:bCs/>
                <w:noProof w:val="0"/>
                <w:sz w:val="26"/>
                <w:szCs w:val="26"/>
                <w:rtl/>
              </w:rPr>
            </w:pPr>
            <w:sdt>
              <w:sdtPr>
                <w:rPr>
                  <w:b/>
                  <w:bCs/>
                  <w:sz w:val="26"/>
                  <w:szCs w:val="26"/>
                  <w:rtl/>
                </w:rPr>
                <w:alias w:val="1486"/>
                <w:tag w:val="1486"/>
                <w:id w:val="2063827857"/>
                <w:text w:multiLine="1"/>
              </w:sdtPr>
              <w:sdtEndPr/>
              <w:sdtContent>
                <w:r w:rsidR="00CF3996">
                  <w:rPr>
                    <w:rFonts w:ascii="Arial" w:hAnsi="Arial"/>
                    <w:b/>
                    <w:bCs/>
                    <w:noProof w:val="0"/>
                    <w:sz w:val="26"/>
                    <w:szCs w:val="26"/>
                    <w:rtl/>
                  </w:rPr>
                  <w:t>ע</w:t>
                </w:r>
                <w:r w:rsidR="00080A1F">
                  <w:rPr>
                    <w:rFonts w:ascii="Arial" w:hAnsi="Arial" w:hint="cs"/>
                    <w:b/>
                    <w:bCs/>
                    <w:noProof w:val="0"/>
                    <w:sz w:val="26"/>
                    <w:szCs w:val="26"/>
                    <w:rtl/>
                  </w:rPr>
                  <w:t xml:space="preserve">' </w:t>
                </w:r>
                <w:r w:rsidR="00080A1F">
                  <w:rPr>
                    <w:rFonts w:ascii="Arial" w:hAnsi="Arial"/>
                    <w:b/>
                    <w:bCs/>
                    <w:noProof w:val="0"/>
                    <w:sz w:val="26"/>
                    <w:szCs w:val="26"/>
                    <w:rtl/>
                  </w:rPr>
                  <w:t>פ</w:t>
                </w:r>
                <w:r w:rsidR="00080A1F">
                  <w:rPr>
                    <w:rFonts w:ascii="Arial" w:hAnsi="Arial" w:hint="cs"/>
                    <w:b/>
                    <w:bCs/>
                    <w:noProof w:val="0"/>
                    <w:sz w:val="26"/>
                    <w:szCs w:val="26"/>
                    <w:rtl/>
                  </w:rPr>
                  <w:t xml:space="preserve">' </w:t>
                </w:r>
                <w:r w:rsidR="00CF3996">
                  <w:rPr>
                    <w:rFonts w:ascii="Arial" w:hAnsi="Arial"/>
                    <w:b/>
                    <w:bCs/>
                    <w:noProof w:val="0"/>
                    <w:sz w:val="26"/>
                    <w:szCs w:val="26"/>
                    <w:rtl/>
                  </w:rPr>
                  <w:t>ה</w:t>
                </w:r>
                <w:r w:rsidR="00080A1F">
                  <w:rPr>
                    <w:rFonts w:ascii="Arial" w:hAnsi="Arial" w:hint="cs"/>
                    <w:b/>
                    <w:bCs/>
                    <w:noProof w:val="0"/>
                    <w:sz w:val="26"/>
                    <w:szCs w:val="26"/>
                    <w:rtl/>
                  </w:rPr>
                  <w:t xml:space="preserve">' </w:t>
                </w:r>
              </w:sdtContent>
            </w:sdt>
            <w:r w:rsidR="00CF3996">
              <w:rPr>
                <w:rFonts w:ascii="Arial" w:hAnsi="Arial"/>
                <w:b/>
                <w:bCs/>
                <w:noProof w:val="0"/>
                <w:sz w:val="26"/>
                <w:szCs w:val="26"/>
                <w:rtl/>
              </w:rPr>
              <w:t xml:space="preserve"> </w:t>
            </w:r>
            <w:sdt>
              <w:sdtPr>
                <w:rPr>
                  <w:b/>
                  <w:bCs/>
                  <w:sz w:val="26"/>
                  <w:szCs w:val="26"/>
                  <w:rtl/>
                </w:rPr>
                <w:alias w:val="2317"/>
                <w:tag w:val="2317"/>
                <w:id w:val="-1224135476"/>
                <w:showingPlcHdr/>
                <w:text w:multiLine="1"/>
              </w:sdtPr>
              <w:sdtEndPr/>
              <w:sdtContent>
                <w:r w:rsidR="00080A1F">
                  <w:rPr>
                    <w:b/>
                    <w:bCs/>
                    <w:sz w:val="26"/>
                    <w:szCs w:val="26"/>
                    <w:rtl/>
                  </w:rPr>
                  <w:t xml:space="preserve">     </w:t>
                </w:r>
              </w:sdtContent>
            </w:sdt>
            <w:r w:rsidR="00CF3996">
              <w:rPr>
                <w:rFonts w:ascii="Arial" w:hAnsi="Arial"/>
                <w:b/>
                <w:bCs/>
                <w:noProof w:val="0"/>
                <w:sz w:val="26"/>
                <w:szCs w:val="26"/>
                <w:rtl/>
              </w:rPr>
              <w:t xml:space="preserve"> </w:t>
            </w:r>
            <w:sdt>
              <w:sdtPr>
                <w:rPr>
                  <w:b/>
                  <w:bCs/>
                  <w:sz w:val="26"/>
                  <w:szCs w:val="26"/>
                  <w:rtl/>
                </w:rPr>
                <w:alias w:val="2318"/>
                <w:tag w:val="2318"/>
                <w:id w:val="-304548180"/>
                <w:text w:multiLine="1"/>
              </w:sdtPr>
              <w:sdtEndPr/>
              <w:sdtContent>
                <w:r w:rsidR="00CF3996">
                  <w:rPr>
                    <w:rFonts w:ascii="Arial" w:hAnsi="Arial"/>
                    <w:b/>
                    <w:bCs/>
                    <w:noProof w:val="0"/>
                    <w:sz w:val="26"/>
                    <w:szCs w:val="26"/>
                    <w:rtl/>
                  </w:rPr>
                  <w:br/>
                </w:r>
                <w:r w:rsidR="00CF3996">
                  <w:rPr>
                    <w:b/>
                    <w:bCs/>
                    <w:sz w:val="26"/>
                    <w:szCs w:val="26"/>
                    <w:rtl/>
                  </w:rPr>
                  <w:t xml:space="preserve">ע"י ב"כ עוה"ד דור חזקיה ועמוס חכמון </w:t>
                </w:r>
              </w:sdtContent>
            </w:sdt>
          </w:p>
        </w:tc>
      </w:tr>
      <w:tr w:rsidR="00CF3996" w:rsidTr="00CF3996">
        <w:trPr>
          <w:jc w:val="center"/>
        </w:trPr>
        <w:tc>
          <w:tcPr>
            <w:tcW w:w="8820" w:type="dxa"/>
            <w:gridSpan w:val="4"/>
          </w:tcPr>
          <w:p w:rsidR="00CF3996" w:rsidRDefault="00CF3996">
            <w:pPr>
              <w:bidi w:val="0"/>
              <w:jc w:val="center"/>
              <w:rPr>
                <w:rFonts w:ascii="Arial" w:hAnsi="Arial"/>
                <w:b/>
                <w:bCs/>
                <w:noProof w:val="0"/>
                <w:sz w:val="26"/>
                <w:szCs w:val="26"/>
                <w:u w:val="single"/>
                <w:rtl/>
              </w:rPr>
            </w:pPr>
          </w:p>
          <w:p w:rsidR="00CF3996" w:rsidRDefault="00CF3996">
            <w:pPr>
              <w:bidi w:val="0"/>
              <w:ind w:left="720"/>
              <w:jc w:val="center"/>
              <w:rPr>
                <w:rFonts w:ascii="Arial" w:hAnsi="Arial"/>
                <w:b/>
                <w:bCs/>
                <w:noProof w:val="0"/>
                <w:sz w:val="28"/>
                <w:szCs w:val="28"/>
                <w:u w:val="single"/>
              </w:rPr>
            </w:pPr>
            <w:r>
              <w:rPr>
                <w:rFonts w:ascii="Arial" w:hAnsi="Arial"/>
                <w:b/>
                <w:bCs/>
                <w:noProof w:val="0"/>
                <w:sz w:val="28"/>
                <w:szCs w:val="28"/>
                <w:u w:val="single"/>
                <w:rtl/>
              </w:rPr>
              <w:t>החלטה</w:t>
            </w:r>
          </w:p>
        </w:tc>
      </w:tr>
    </w:tbl>
    <w:p w:rsidR="00CF3996" w:rsidRDefault="00CF3996" w:rsidP="00CF3996">
      <w:pPr>
        <w:spacing w:line="360" w:lineRule="auto"/>
        <w:jc w:val="both"/>
        <w:rPr>
          <w:rFonts w:ascii="Arial" w:hAnsi="Arial"/>
          <w:noProof w:val="0"/>
        </w:rPr>
      </w:pPr>
    </w:p>
    <w:p w:rsidR="001B6872" w:rsidRDefault="001B6872" w:rsidP="001B6872">
      <w:pPr>
        <w:spacing w:line="360" w:lineRule="auto"/>
        <w:jc w:val="both"/>
        <w:rPr>
          <w:rFonts w:ascii="Arial" w:hAnsi="Arial"/>
          <w:noProof w:val="0"/>
          <w:rtl/>
        </w:rPr>
      </w:pPr>
      <w:r>
        <w:rPr>
          <w:rFonts w:ascii="Arial" w:hAnsi="Arial"/>
          <w:noProof w:val="0"/>
          <w:rtl/>
        </w:rPr>
        <w:t xml:space="preserve">הסכסוך בין הצדדים עניינו בשאלת תוקפה של צוואה שערכה המנוחה בשנת 1995. המבקשת היא בתה של המנוחה והטוענת, כי היא הזוכה על פי צוואת המנוחה משנת 1995; המשיבה היא נכדתה של המנוחה וטוענת, כי אימה המנוחה (אחותה של המבקשת) זוכה יחד עם המבקשת בצוואה מוקדמת שערכה המנוחה משנת 1980. </w:t>
      </w:r>
    </w:p>
    <w:p w:rsidR="001B6872" w:rsidRDefault="001B6872" w:rsidP="001B6872">
      <w:pPr>
        <w:spacing w:line="360" w:lineRule="auto"/>
        <w:jc w:val="both"/>
        <w:rPr>
          <w:rFonts w:ascii="Arial" w:hAnsi="Arial"/>
          <w:noProof w:val="0"/>
          <w:rtl/>
        </w:rPr>
      </w:pPr>
    </w:p>
    <w:p w:rsidR="001B6872" w:rsidRDefault="001B6872" w:rsidP="001B6872">
      <w:pPr>
        <w:spacing w:line="360" w:lineRule="auto"/>
        <w:jc w:val="both"/>
        <w:rPr>
          <w:rFonts w:ascii="Arial" w:hAnsi="Arial"/>
          <w:noProof w:val="0"/>
          <w:rtl/>
        </w:rPr>
      </w:pPr>
      <w:r>
        <w:rPr>
          <w:rFonts w:ascii="Arial" w:hAnsi="Arial"/>
          <w:noProof w:val="0"/>
          <w:rtl/>
        </w:rPr>
        <w:t xml:space="preserve">בפניי בקשה מיום 31.10.2024 (בקשה 15) שהגישה המבקשת ובמסגרתה היא עתרה להורות למומחה </w:t>
      </w:r>
      <w:r>
        <w:rPr>
          <w:rFonts w:ascii="Arial" w:hAnsi="Arial"/>
          <w:b/>
          <w:bCs/>
          <w:noProof w:val="0"/>
          <w:rtl/>
        </w:rPr>
        <w:t>"להתעלם ממסמכים שנמסרו לו ע"י הנתבעת בניגוד לדין ולהחלטות בית המשפט".</w:t>
      </w:r>
      <w:r>
        <w:rPr>
          <w:rFonts w:ascii="Arial" w:hAnsi="Arial"/>
          <w:noProof w:val="0"/>
          <w:rtl/>
        </w:rPr>
        <w:t xml:space="preserve"> </w:t>
      </w:r>
    </w:p>
    <w:p w:rsidR="001B6872" w:rsidRDefault="001B6872" w:rsidP="001B6872">
      <w:pPr>
        <w:spacing w:line="360" w:lineRule="auto"/>
        <w:jc w:val="both"/>
        <w:rPr>
          <w:rFonts w:ascii="Arial" w:hAnsi="Arial"/>
          <w:noProof w:val="0"/>
          <w:rtl/>
        </w:rPr>
      </w:pPr>
    </w:p>
    <w:p w:rsidR="001B6872" w:rsidRDefault="001B6872" w:rsidP="001B6872">
      <w:pPr>
        <w:pStyle w:val="ac"/>
        <w:numPr>
          <w:ilvl w:val="0"/>
          <w:numId w:val="1"/>
        </w:numPr>
        <w:spacing w:line="360" w:lineRule="auto"/>
        <w:jc w:val="both"/>
        <w:rPr>
          <w:rFonts w:ascii="Arial" w:hAnsi="Arial"/>
          <w:b/>
          <w:bCs/>
          <w:noProof w:val="0"/>
          <w:u w:val="single"/>
          <w:rtl/>
        </w:rPr>
      </w:pPr>
      <w:r>
        <w:rPr>
          <w:rFonts w:ascii="Arial" w:hAnsi="Arial"/>
          <w:b/>
          <w:bCs/>
          <w:noProof w:val="0"/>
          <w:u w:val="single"/>
          <w:rtl/>
        </w:rPr>
        <w:t>מינוי המומחה מטעם בית המשפט</w:t>
      </w:r>
    </w:p>
    <w:p w:rsidR="001B6872" w:rsidRDefault="001B6872" w:rsidP="001B6872">
      <w:pPr>
        <w:pStyle w:val="ac"/>
        <w:spacing w:line="360" w:lineRule="auto"/>
        <w:ind w:left="360"/>
        <w:jc w:val="both"/>
        <w:rPr>
          <w:rFonts w:ascii="Arial" w:hAnsi="Arial"/>
          <w:noProof w:val="0"/>
        </w:rPr>
      </w:pPr>
    </w:p>
    <w:p w:rsidR="001B6872" w:rsidRDefault="001B6872" w:rsidP="001B6872">
      <w:pPr>
        <w:pStyle w:val="ac"/>
        <w:numPr>
          <w:ilvl w:val="1"/>
          <w:numId w:val="1"/>
        </w:numPr>
        <w:spacing w:line="360" w:lineRule="auto"/>
        <w:jc w:val="both"/>
        <w:rPr>
          <w:rFonts w:ascii="Arial" w:hAnsi="Arial"/>
          <w:noProof w:val="0"/>
        </w:rPr>
      </w:pPr>
      <w:r>
        <w:rPr>
          <w:rFonts w:ascii="Arial" w:hAnsi="Arial"/>
          <w:noProof w:val="0"/>
          <w:rtl/>
        </w:rPr>
        <w:t xml:space="preserve">בהחלטתי מיום 2.10.2024, הוריתי על מינוי של מומחה מטעם בית המשפט, פרופ' שמואל פניג, לצורך הגשת חוות-דעת בדבר יכולתה וכשירותה של המנוחה </w:t>
      </w:r>
      <w:r>
        <w:rPr>
          <w:rFonts w:ascii="Arial" w:hAnsi="Arial" w:hint="cs"/>
          <w:noProof w:val="0"/>
          <w:rtl/>
        </w:rPr>
        <w:t>ע' א' מ'</w:t>
      </w:r>
      <w:r>
        <w:rPr>
          <w:rFonts w:ascii="Arial" w:hAnsi="Arial"/>
          <w:noProof w:val="0"/>
          <w:rtl/>
        </w:rPr>
        <w:t xml:space="preserve"> ז"ל, להבחין בטיבה של הצוואה מיום 24.7.1995. </w:t>
      </w:r>
    </w:p>
    <w:p w:rsidR="001B6872" w:rsidRPr="00E05F8F" w:rsidRDefault="001B6872" w:rsidP="001B6872">
      <w:pPr>
        <w:spacing w:line="360" w:lineRule="auto"/>
        <w:jc w:val="both"/>
        <w:rPr>
          <w:rFonts w:ascii="Arial" w:hAnsi="Arial"/>
          <w:noProof w:val="0"/>
          <w:rtl/>
        </w:rPr>
      </w:pPr>
    </w:p>
    <w:p w:rsidR="001B6872" w:rsidRDefault="001B6872" w:rsidP="001B6872">
      <w:pPr>
        <w:pStyle w:val="ac"/>
        <w:numPr>
          <w:ilvl w:val="1"/>
          <w:numId w:val="1"/>
        </w:numPr>
        <w:spacing w:line="360" w:lineRule="auto"/>
        <w:jc w:val="both"/>
        <w:rPr>
          <w:rFonts w:ascii="Arial" w:hAnsi="Arial"/>
          <w:noProof w:val="0"/>
          <w:rtl/>
        </w:rPr>
      </w:pPr>
      <w:r>
        <w:rPr>
          <w:rFonts w:ascii="Arial" w:hAnsi="Arial"/>
          <w:noProof w:val="0"/>
          <w:rtl/>
        </w:rPr>
        <w:t xml:space="preserve">בקשת המשיבה להתיר לה להגיש למומחה חוות-דעת פרטית, נדחתה. לאור בקשתה של המשיבה להגיש למומחה חוות-דעת פרטית, ועל מנת להסיר כל מכשלה, ניתנו בהחלטתי מיום 2.10.2024, הוראות באשר למסמכים המותרים להגשה למומחה. כך קבעתי בהחלטתי הנ"ל: </w:t>
      </w:r>
    </w:p>
    <w:p w:rsidR="001B6872" w:rsidRDefault="001B6872" w:rsidP="001B6872">
      <w:pPr>
        <w:spacing w:line="360" w:lineRule="auto"/>
        <w:ind w:left="360"/>
        <w:jc w:val="both"/>
        <w:rPr>
          <w:rFonts w:ascii="Arial" w:hAnsi="Arial"/>
          <w:noProof w:val="0"/>
          <w:rtl/>
        </w:rPr>
      </w:pPr>
      <w:r>
        <w:rPr>
          <w:rFonts w:ascii="Arial" w:hAnsi="Arial"/>
        </w:rPr>
        <w:lastRenderedPageBreak/>
        <w:drawing>
          <wp:inline distT="0" distB="0" distL="0" distR="0" wp14:anchorId="0815C375" wp14:editId="45F81168">
            <wp:extent cx="5400675" cy="1200150"/>
            <wp:effectExtent l="19050" t="19050" r="28575" b="1905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1200150"/>
                    </a:xfrm>
                    <a:prstGeom prst="rect">
                      <a:avLst/>
                    </a:prstGeom>
                    <a:noFill/>
                    <a:ln w="9525" cmpd="sng">
                      <a:solidFill>
                        <a:srgbClr val="000000"/>
                      </a:solidFill>
                      <a:miter lim="800000"/>
                      <a:headEnd/>
                      <a:tailEnd/>
                    </a:ln>
                    <a:effectLst/>
                  </pic:spPr>
                </pic:pic>
              </a:graphicData>
            </a:graphic>
          </wp:inline>
        </w:drawing>
      </w:r>
    </w:p>
    <w:p w:rsidR="001B6872" w:rsidRDefault="001B6872" w:rsidP="001B6872">
      <w:pPr>
        <w:spacing w:line="360" w:lineRule="auto"/>
        <w:jc w:val="both"/>
        <w:rPr>
          <w:rFonts w:ascii="Arial" w:hAnsi="Arial"/>
          <w:noProof w:val="0"/>
          <w:rtl/>
        </w:rPr>
      </w:pPr>
    </w:p>
    <w:p w:rsidR="001B6872" w:rsidRDefault="001B6872" w:rsidP="001B6872">
      <w:pPr>
        <w:pStyle w:val="ac"/>
        <w:numPr>
          <w:ilvl w:val="1"/>
          <w:numId w:val="1"/>
        </w:numPr>
        <w:spacing w:line="360" w:lineRule="auto"/>
        <w:jc w:val="both"/>
        <w:rPr>
          <w:rFonts w:ascii="Arial" w:hAnsi="Arial"/>
          <w:noProof w:val="0"/>
          <w:rtl/>
        </w:rPr>
      </w:pPr>
      <w:r>
        <w:rPr>
          <w:rFonts w:ascii="Arial" w:hAnsi="Arial"/>
          <w:noProof w:val="0"/>
          <w:rtl/>
        </w:rPr>
        <w:t xml:space="preserve">הצוואה מושא הסכסוך היא מיום 24.7.1995. על פי צוואה זו, המנוחה ציוותה את כל רכושה למבקשת, כשהיא מבטלת צוואה מוקדמת משנת 1980, לפיה עיזבון המנוחה יחולק בין שתי בנותיה של המנוחה בחלקים שווים – המבקשת ואם המשיבה (שהלכה לעולמה אחרי המנוחה). </w:t>
      </w:r>
    </w:p>
    <w:p w:rsidR="001B6872" w:rsidRDefault="001B6872" w:rsidP="001B6872">
      <w:pPr>
        <w:pStyle w:val="ac"/>
        <w:spacing w:line="360" w:lineRule="auto"/>
        <w:ind w:left="792"/>
        <w:jc w:val="both"/>
        <w:rPr>
          <w:rFonts w:ascii="Arial" w:hAnsi="Arial"/>
          <w:noProof w:val="0"/>
        </w:rPr>
      </w:pPr>
    </w:p>
    <w:p w:rsidR="001B6872" w:rsidRDefault="001B6872" w:rsidP="001B6872">
      <w:pPr>
        <w:pStyle w:val="ac"/>
        <w:numPr>
          <w:ilvl w:val="1"/>
          <w:numId w:val="1"/>
        </w:numPr>
        <w:spacing w:line="360" w:lineRule="auto"/>
        <w:jc w:val="both"/>
        <w:rPr>
          <w:rFonts w:ascii="Arial" w:hAnsi="Arial"/>
          <w:noProof w:val="0"/>
        </w:rPr>
      </w:pPr>
      <w:r>
        <w:rPr>
          <w:rFonts w:ascii="Arial" w:hAnsi="Arial"/>
          <w:noProof w:val="0"/>
          <w:rtl/>
        </w:rPr>
        <w:t xml:space="preserve">בשנת 2021, בחלוף כ- 26 שנים מאז ערכה המנוחה את צוואתה האחרונה, הגישה המבקשת בקשה לצו קיום צוואה. בין הצדדים נטושה מחלוקת בשאלה על מי מוטל נטל ההוכחה, נוכח השיהוי הרב בהגשת הבקשה לצו קיום צוואה. המשיבה טוענת, כי השיהוי הרב גרם לה "היזק ראייתי", כאשר כל התיק הרפואי של המנוחה בגרמניה, בוער, והמסמכים היחידים שנמצאו הם שני מסמכים מושא החלטתי זו.  </w:t>
      </w:r>
    </w:p>
    <w:p w:rsidR="001B6872" w:rsidRPr="00CF3996" w:rsidRDefault="001B6872" w:rsidP="001B6872">
      <w:pPr>
        <w:pStyle w:val="ac"/>
        <w:rPr>
          <w:rFonts w:ascii="Arial" w:hAnsi="Arial"/>
          <w:noProof w:val="0"/>
          <w:rtl/>
        </w:rPr>
      </w:pPr>
    </w:p>
    <w:p w:rsidR="001B6872" w:rsidRPr="00CF3996" w:rsidRDefault="001B6872" w:rsidP="001B6872">
      <w:pPr>
        <w:pStyle w:val="ac"/>
        <w:numPr>
          <w:ilvl w:val="1"/>
          <w:numId w:val="1"/>
        </w:numPr>
        <w:spacing w:line="360" w:lineRule="auto"/>
        <w:jc w:val="both"/>
        <w:rPr>
          <w:rFonts w:ascii="Arial" w:hAnsi="Arial"/>
          <w:noProof w:val="0"/>
          <w:rtl/>
        </w:rPr>
      </w:pPr>
      <w:r w:rsidRPr="00CF3996">
        <w:rPr>
          <w:rFonts w:ascii="Arial" w:hAnsi="Arial"/>
          <w:noProof w:val="0"/>
          <w:rtl/>
        </w:rPr>
        <w:t xml:space="preserve">אין זה המקום והעת להכריע בשאלת נטל ההוכחה. המדובר בשאלה כבדת משקל, אשר יש להכריע בה לאחר שמיעת ראיות, שאז גם אבחן את השאלה – לעניין "היזק ראייתי" ונטל ההוכחה, האם יש להבחין בין מקרה שבו הצוואה קובעת חלוקה שווה של העיזבון לשתי בנותיה של המנוחה [זהה לחלוקה על פי דין ירושה] ואף אחד מהזוכים לא פעל למימושה (צוואת 1980), לבין מקרה שבו הצוואה קובעת, כי רק המבקשת תזכה בעיזבון, והמבקשת לא פעלה למימוש הצוואה משך 22 שנים (מאז פטירת המנוחה בשנת 1999)?  </w:t>
      </w:r>
    </w:p>
    <w:p w:rsidR="001B6872" w:rsidRDefault="001B6872" w:rsidP="001B6872">
      <w:pPr>
        <w:spacing w:line="360" w:lineRule="auto"/>
        <w:jc w:val="both"/>
        <w:rPr>
          <w:rFonts w:ascii="Arial" w:hAnsi="Arial"/>
          <w:noProof w:val="0"/>
        </w:rPr>
      </w:pPr>
    </w:p>
    <w:p w:rsidR="001B6872" w:rsidRDefault="001B6872" w:rsidP="001B6872">
      <w:pPr>
        <w:pStyle w:val="ac"/>
        <w:numPr>
          <w:ilvl w:val="0"/>
          <w:numId w:val="1"/>
        </w:numPr>
        <w:spacing w:line="360" w:lineRule="auto"/>
        <w:jc w:val="both"/>
        <w:rPr>
          <w:rFonts w:ascii="Arial" w:hAnsi="Arial"/>
          <w:b/>
          <w:bCs/>
          <w:noProof w:val="0"/>
          <w:u w:val="single"/>
          <w:rtl/>
        </w:rPr>
      </w:pPr>
      <w:r>
        <w:rPr>
          <w:rFonts w:ascii="Arial" w:hAnsi="Arial"/>
          <w:b/>
          <w:bCs/>
          <w:noProof w:val="0"/>
          <w:u w:val="single"/>
          <w:rtl/>
        </w:rPr>
        <w:t xml:space="preserve">המסמכים מושא הבקשה </w:t>
      </w:r>
    </w:p>
    <w:p w:rsidR="001B6872" w:rsidRDefault="001B6872" w:rsidP="001B6872">
      <w:pPr>
        <w:pStyle w:val="ac"/>
        <w:spacing w:line="360" w:lineRule="auto"/>
        <w:ind w:left="360"/>
        <w:jc w:val="both"/>
        <w:rPr>
          <w:rFonts w:ascii="Arial" w:hAnsi="Arial"/>
          <w:b/>
          <w:bCs/>
          <w:noProof w:val="0"/>
          <w:u w:val="single"/>
        </w:rPr>
      </w:pPr>
    </w:p>
    <w:p w:rsidR="001B6872" w:rsidRDefault="001B6872" w:rsidP="001B6872">
      <w:pPr>
        <w:pStyle w:val="ac"/>
        <w:numPr>
          <w:ilvl w:val="1"/>
          <w:numId w:val="1"/>
        </w:numPr>
        <w:spacing w:line="360" w:lineRule="auto"/>
        <w:jc w:val="both"/>
        <w:rPr>
          <w:rFonts w:ascii="Arial" w:hAnsi="Arial"/>
          <w:noProof w:val="0"/>
        </w:rPr>
      </w:pPr>
      <w:r>
        <w:rPr>
          <w:rFonts w:ascii="Arial" w:hAnsi="Arial"/>
          <w:noProof w:val="0"/>
          <w:rtl/>
        </w:rPr>
        <w:t xml:space="preserve">המשיבה העבירה למומחה שני מסמכים: </w:t>
      </w:r>
    </w:p>
    <w:p w:rsidR="001B6872" w:rsidRDefault="001B6872" w:rsidP="001B6872">
      <w:pPr>
        <w:spacing w:line="360" w:lineRule="auto"/>
        <w:jc w:val="both"/>
        <w:rPr>
          <w:rFonts w:ascii="Arial" w:hAnsi="Arial"/>
          <w:noProof w:val="0"/>
          <w:rtl/>
        </w:rPr>
      </w:pPr>
    </w:p>
    <w:p w:rsidR="001B6872" w:rsidRDefault="001B6872" w:rsidP="001B6872">
      <w:pPr>
        <w:spacing w:line="360" w:lineRule="auto"/>
        <w:ind w:left="792"/>
        <w:jc w:val="both"/>
        <w:rPr>
          <w:rFonts w:ascii="Arial" w:hAnsi="Arial"/>
          <w:noProof w:val="0"/>
          <w:rtl/>
        </w:rPr>
      </w:pPr>
      <w:r>
        <w:rPr>
          <w:rFonts w:ascii="Arial" w:hAnsi="Arial"/>
          <w:b/>
          <w:bCs/>
          <w:noProof w:val="0"/>
          <w:u w:val="single"/>
          <w:rtl/>
        </w:rPr>
        <w:t>האחד</w:t>
      </w:r>
      <w:r>
        <w:rPr>
          <w:rFonts w:ascii="Arial" w:hAnsi="Arial"/>
          <w:noProof w:val="0"/>
          <w:rtl/>
        </w:rPr>
        <w:t xml:space="preserve"> – מסמך רפואי שנערך בגרמניה, של ד"ר פ</w:t>
      </w:r>
      <w:r>
        <w:rPr>
          <w:rFonts w:ascii="Arial" w:hAnsi="Arial" w:hint="cs"/>
          <w:noProof w:val="0"/>
          <w:rtl/>
        </w:rPr>
        <w:t>'</w:t>
      </w:r>
      <w:r>
        <w:rPr>
          <w:rFonts w:ascii="Arial" w:hAnsi="Arial"/>
          <w:noProof w:val="0"/>
          <w:rtl/>
        </w:rPr>
        <w:t xml:space="preserve">, מיום 31.5.1995, בסמוך לפני עריכת הצוואה (כחודשיים לפני עריכת הצוואה), ועניינו בשאלה האם נוכח מצבה הרפואי של המנוחה, יש הצדקה להעבירה למוסד סיעודי. הצדדים חלוקים בשאלה האם מדובר בתעודה רפואית או שמא בחוות-דעת רפואית. </w:t>
      </w:r>
      <w:r>
        <w:rPr>
          <w:rFonts w:ascii="Arial" w:hAnsi="Arial"/>
          <w:noProof w:val="0"/>
          <w:u w:val="single"/>
          <w:rtl/>
        </w:rPr>
        <w:t>מסמך זה יכונה להלן: "מסמך א".</w:t>
      </w:r>
      <w:r>
        <w:rPr>
          <w:rFonts w:ascii="Arial" w:hAnsi="Arial"/>
          <w:noProof w:val="0"/>
          <w:rtl/>
        </w:rPr>
        <w:t xml:space="preserve"> </w:t>
      </w:r>
    </w:p>
    <w:p w:rsidR="001B6872" w:rsidRDefault="001B6872" w:rsidP="001B6872">
      <w:pPr>
        <w:spacing w:line="360" w:lineRule="auto"/>
        <w:ind w:left="792"/>
        <w:jc w:val="both"/>
        <w:rPr>
          <w:rFonts w:ascii="Arial" w:hAnsi="Arial"/>
          <w:noProof w:val="0"/>
          <w:rtl/>
        </w:rPr>
      </w:pPr>
    </w:p>
    <w:p w:rsidR="001B6872" w:rsidRDefault="001B6872" w:rsidP="001B6872">
      <w:pPr>
        <w:spacing w:line="360" w:lineRule="auto"/>
        <w:ind w:left="792"/>
        <w:jc w:val="both"/>
        <w:rPr>
          <w:rFonts w:ascii="Arial" w:hAnsi="Arial"/>
          <w:noProof w:val="0"/>
          <w:u w:val="single"/>
          <w:rtl/>
        </w:rPr>
      </w:pPr>
      <w:r>
        <w:rPr>
          <w:rFonts w:ascii="Arial" w:hAnsi="Arial"/>
          <w:b/>
          <w:bCs/>
          <w:noProof w:val="0"/>
          <w:u w:val="single"/>
          <w:rtl/>
        </w:rPr>
        <w:lastRenderedPageBreak/>
        <w:t>השני</w:t>
      </w:r>
      <w:r>
        <w:rPr>
          <w:rFonts w:ascii="Arial" w:hAnsi="Arial"/>
          <w:noProof w:val="0"/>
          <w:rtl/>
        </w:rPr>
        <w:t xml:space="preserve"> – צו בית משפט השלום בעיר הנובר גרמניה, מיום 3.5.1995, אף הוא נערך בסמוך לפני עריכת הצוואה, במסגרתו הורה בית המשפט על מינוי אפוטרופוס למנוחה או תומך החלטות [יש מחלוקת בין הצדדים לעניין התרגום הנכון של הצו], תוך שהוא מסתמך על חוות-דעת רפואית, דו"ח עו"ס והתרשמות אישית של השופט שדן באותה בקשה. </w:t>
      </w:r>
      <w:r>
        <w:rPr>
          <w:rFonts w:ascii="Arial" w:hAnsi="Arial"/>
          <w:noProof w:val="0"/>
          <w:u w:val="single"/>
          <w:rtl/>
        </w:rPr>
        <w:t xml:space="preserve">מסמך זה יכונה להלן: "מסמך ב".  </w:t>
      </w:r>
    </w:p>
    <w:p w:rsidR="001B6872" w:rsidRDefault="001B6872" w:rsidP="001B6872">
      <w:pPr>
        <w:spacing w:line="360" w:lineRule="auto"/>
        <w:ind w:left="792"/>
        <w:jc w:val="both"/>
        <w:rPr>
          <w:rFonts w:ascii="Arial" w:hAnsi="Arial"/>
          <w:noProof w:val="0"/>
          <w:rtl/>
        </w:rPr>
      </w:pPr>
    </w:p>
    <w:p w:rsidR="001B6872" w:rsidRDefault="001B6872" w:rsidP="001B6872">
      <w:pPr>
        <w:pStyle w:val="ac"/>
        <w:numPr>
          <w:ilvl w:val="1"/>
          <w:numId w:val="1"/>
        </w:numPr>
        <w:spacing w:line="360" w:lineRule="auto"/>
        <w:jc w:val="both"/>
        <w:rPr>
          <w:rFonts w:ascii="Arial" w:hAnsi="Arial"/>
          <w:noProof w:val="0"/>
          <w:rtl/>
        </w:rPr>
      </w:pPr>
      <w:r>
        <w:rPr>
          <w:rFonts w:ascii="Arial" w:hAnsi="Arial"/>
          <w:noProof w:val="0"/>
          <w:rtl/>
        </w:rPr>
        <w:t xml:space="preserve">ביום 13.11.2024, קיימתי דיון שמרביתו הוקדש לשאלה – האם שני המסמכים שהועברו למומחה, מקיימים אחר ההחלטה מיום 2.10.2024 או שמא העברתם למומחה מהווה הפרה של ההחלטה הנ"ל, ויש להורות למומחה להתעלם מהם? (המבקשת אינה מבקשת את החלפת המומחה נוכח חשיפתו למסמכים). </w:t>
      </w:r>
    </w:p>
    <w:p w:rsidR="001B6872" w:rsidRDefault="001B6872" w:rsidP="001B6872">
      <w:pPr>
        <w:pStyle w:val="ac"/>
        <w:spacing w:line="360" w:lineRule="auto"/>
        <w:ind w:left="792"/>
        <w:jc w:val="both"/>
        <w:rPr>
          <w:rFonts w:ascii="Arial" w:hAnsi="Arial"/>
          <w:noProof w:val="0"/>
        </w:rPr>
      </w:pPr>
    </w:p>
    <w:p w:rsidR="001B6872" w:rsidRDefault="001B6872" w:rsidP="001B6872">
      <w:pPr>
        <w:pStyle w:val="ac"/>
        <w:numPr>
          <w:ilvl w:val="1"/>
          <w:numId w:val="1"/>
        </w:numPr>
        <w:spacing w:line="360" w:lineRule="auto"/>
        <w:jc w:val="both"/>
        <w:rPr>
          <w:rFonts w:ascii="Arial" w:hAnsi="Arial"/>
          <w:noProof w:val="0"/>
        </w:rPr>
      </w:pPr>
      <w:r>
        <w:rPr>
          <w:rFonts w:ascii="Arial" w:hAnsi="Arial"/>
          <w:noProof w:val="0"/>
          <w:rtl/>
        </w:rPr>
        <w:t xml:space="preserve">לטענת המבקשת, המסמכים שהעבירה המשיבה למומחה </w:t>
      </w:r>
      <w:r>
        <w:rPr>
          <w:rFonts w:ascii="Arial" w:hAnsi="Arial"/>
          <w:b/>
          <w:bCs/>
          <w:noProof w:val="0"/>
          <w:rtl/>
        </w:rPr>
        <w:t>הוכנו לצורך הליכים משפטיים</w:t>
      </w:r>
      <w:r>
        <w:rPr>
          <w:rFonts w:ascii="Arial" w:hAnsi="Arial"/>
          <w:noProof w:val="0"/>
          <w:rtl/>
        </w:rPr>
        <w:t xml:space="preserve">, ובכך הפרה המשיבה את החלטות בית המשפט תוך ניסיון פסול להשפיע על תוכנה של חוות-הדעת. לטענת המבקשת, מותר להעביר למומחה אך ורק חומר רפואי גולמי שלא נערך להליך המשפטי. </w:t>
      </w:r>
    </w:p>
    <w:p w:rsidR="001B6872" w:rsidRDefault="001B6872" w:rsidP="001B6872">
      <w:pPr>
        <w:pStyle w:val="ac"/>
        <w:rPr>
          <w:rFonts w:ascii="Arial" w:hAnsi="Arial"/>
          <w:noProof w:val="0"/>
        </w:rPr>
      </w:pPr>
    </w:p>
    <w:p w:rsidR="001B6872" w:rsidRDefault="001B6872" w:rsidP="001B6872">
      <w:pPr>
        <w:pStyle w:val="ac"/>
        <w:numPr>
          <w:ilvl w:val="1"/>
          <w:numId w:val="1"/>
        </w:numPr>
        <w:spacing w:line="360" w:lineRule="auto"/>
        <w:jc w:val="both"/>
        <w:rPr>
          <w:rFonts w:ascii="Arial" w:hAnsi="Arial"/>
          <w:noProof w:val="0"/>
          <w:rtl/>
        </w:rPr>
      </w:pPr>
      <w:r>
        <w:rPr>
          <w:rFonts w:ascii="Arial" w:hAnsi="Arial"/>
          <w:noProof w:val="0"/>
          <w:rtl/>
        </w:rPr>
        <w:t xml:space="preserve">לטענת המשיבה, המסמכים הם "חומר גולמי" ולא רק זאת אלא שהם "החומר הגולמי" היחיד הקיים, שכן כל התיק הרפואי של המנוחה בוער. עוד טוענת המשיבה, כי המסמכים אומנם קשורים לעניינים רפואיים, אך לא הוכנו מצד מי מבעלי הדין להליכים המשפטיים. המסמכים שהועברו למומחה, </w:t>
      </w:r>
      <w:r>
        <w:rPr>
          <w:rFonts w:ascii="Arial" w:hAnsi="Arial"/>
          <w:b/>
          <w:bCs/>
          <w:noProof w:val="0"/>
          <w:rtl/>
        </w:rPr>
        <w:t>לא נערכו בקשר להליך</w:t>
      </w:r>
      <w:r>
        <w:rPr>
          <w:rFonts w:ascii="Arial" w:hAnsi="Arial"/>
          <w:noProof w:val="0"/>
          <w:rtl/>
        </w:rPr>
        <w:t xml:space="preserve"> זה ולכן הם מסמכים "ניטרליים" שאין בהם חשש להטיה לטובת צד כלשהו. </w:t>
      </w:r>
    </w:p>
    <w:p w:rsidR="001B6872" w:rsidRDefault="001B6872" w:rsidP="001B6872">
      <w:pPr>
        <w:pStyle w:val="ac"/>
        <w:rPr>
          <w:rFonts w:ascii="Arial" w:hAnsi="Arial"/>
          <w:noProof w:val="0"/>
        </w:rPr>
      </w:pPr>
    </w:p>
    <w:p w:rsidR="001B6872" w:rsidRDefault="001B6872" w:rsidP="001B6872">
      <w:pPr>
        <w:spacing w:line="360" w:lineRule="auto"/>
        <w:jc w:val="both"/>
        <w:rPr>
          <w:rFonts w:ascii="Arial" w:hAnsi="Arial"/>
          <w:b/>
          <w:bCs/>
          <w:noProof w:val="0"/>
          <w:u w:val="single"/>
          <w:rtl/>
        </w:rPr>
      </w:pPr>
      <w:r>
        <w:rPr>
          <w:rFonts w:ascii="Arial" w:hAnsi="Arial"/>
          <w:b/>
          <w:bCs/>
          <w:noProof w:val="0"/>
          <w:u w:val="single"/>
          <w:rtl/>
        </w:rPr>
        <w:t xml:space="preserve">דיון והכרעה </w:t>
      </w:r>
    </w:p>
    <w:p w:rsidR="001B6872" w:rsidRDefault="001B6872" w:rsidP="001B6872">
      <w:pPr>
        <w:spacing w:line="360" w:lineRule="auto"/>
        <w:jc w:val="both"/>
        <w:rPr>
          <w:rFonts w:ascii="Arial" w:hAnsi="Arial"/>
          <w:noProof w:val="0"/>
          <w:rtl/>
        </w:rPr>
      </w:pPr>
    </w:p>
    <w:p w:rsidR="001B6872" w:rsidRDefault="001B6872" w:rsidP="001B6872">
      <w:pPr>
        <w:pStyle w:val="ac"/>
        <w:numPr>
          <w:ilvl w:val="0"/>
          <w:numId w:val="1"/>
        </w:numPr>
        <w:spacing w:line="360" w:lineRule="auto"/>
        <w:jc w:val="both"/>
        <w:rPr>
          <w:rFonts w:ascii="Arial" w:hAnsi="Arial"/>
          <w:noProof w:val="0"/>
          <w:rtl/>
        </w:rPr>
      </w:pPr>
      <w:r>
        <w:rPr>
          <w:rFonts w:ascii="Arial" w:hAnsi="Arial"/>
          <w:noProof w:val="0"/>
          <w:rtl/>
        </w:rPr>
        <w:t xml:space="preserve">לאחר שבחנתי לעומקן את טענות הצדדים, הן בכתבי הטענות והן הטיעונים בדיון, הגעתי למסקנה, כי המשיבה היתה רשאית להביא בפני המומחה את שני המסמכים, ולא היתה בפעולתה משום הפרה של החלטתי מיום 2.10.2024. </w:t>
      </w:r>
      <w:r>
        <w:rPr>
          <w:rFonts w:ascii="Arial" w:hAnsi="Arial"/>
          <w:noProof w:val="0"/>
          <w:u w:val="single"/>
          <w:rtl/>
        </w:rPr>
        <w:t>להלן הטעמים למסקנתי זו</w:t>
      </w:r>
      <w:r>
        <w:rPr>
          <w:rFonts w:ascii="Arial" w:hAnsi="Arial"/>
          <w:noProof w:val="0"/>
          <w:rtl/>
        </w:rPr>
        <w:t xml:space="preserve">. </w:t>
      </w:r>
    </w:p>
    <w:p w:rsidR="001B6872" w:rsidRDefault="001B6872" w:rsidP="001B6872">
      <w:pPr>
        <w:pStyle w:val="ac"/>
        <w:spacing w:line="360" w:lineRule="auto"/>
        <w:ind w:left="360"/>
        <w:jc w:val="both"/>
        <w:rPr>
          <w:rFonts w:ascii="Arial" w:hAnsi="Arial"/>
          <w:noProof w:val="0"/>
        </w:rPr>
      </w:pPr>
    </w:p>
    <w:p w:rsidR="001B6872" w:rsidRDefault="001B6872" w:rsidP="001B6872">
      <w:pPr>
        <w:pStyle w:val="ac"/>
        <w:numPr>
          <w:ilvl w:val="0"/>
          <w:numId w:val="1"/>
        </w:numPr>
        <w:spacing w:line="360" w:lineRule="auto"/>
        <w:jc w:val="both"/>
        <w:rPr>
          <w:rFonts w:ascii="Arial" w:hAnsi="Arial"/>
          <w:noProof w:val="0"/>
        </w:rPr>
      </w:pPr>
      <w:r>
        <w:rPr>
          <w:rFonts w:ascii="Arial" w:hAnsi="Arial"/>
          <w:b/>
          <w:bCs/>
          <w:noProof w:val="0"/>
          <w:u w:val="single"/>
          <w:rtl/>
        </w:rPr>
        <w:t>בפסיקה נקבע איסור על העברת חוות דעת פרטית למומחה</w:t>
      </w:r>
      <w:r>
        <w:rPr>
          <w:rFonts w:ascii="Arial" w:hAnsi="Arial"/>
          <w:noProof w:val="0"/>
          <w:rtl/>
        </w:rPr>
        <w:t xml:space="preserve">, וזאת במטרה לשמור על אובייקטיביות מרבית של המומחה והעדר פגיעה במראית פני הצדק (תמ"ש (ת"א) 49931/08 </w:t>
      </w:r>
      <w:r>
        <w:rPr>
          <w:rFonts w:ascii="Arial" w:hAnsi="Arial"/>
          <w:b/>
          <w:bCs/>
          <w:noProof w:val="0"/>
          <w:rtl/>
        </w:rPr>
        <w:t xml:space="preserve">פלוני נ' פלונית </w:t>
      </w:r>
      <w:r>
        <w:rPr>
          <w:rFonts w:ascii="Arial" w:hAnsi="Arial"/>
          <w:noProof w:val="0"/>
          <w:rtl/>
        </w:rPr>
        <w:t xml:space="preserve">[פורסם בנבו] 2.5.2010). בענייננו, המדובר במסמכים שהם </w:t>
      </w:r>
      <w:r>
        <w:rPr>
          <w:rFonts w:ascii="Arial" w:hAnsi="Arial"/>
          <w:b/>
          <w:bCs/>
          <w:noProof w:val="0"/>
          <w:u w:val="single"/>
          <w:rtl/>
        </w:rPr>
        <w:t>אינם</w:t>
      </w:r>
      <w:r>
        <w:rPr>
          <w:rFonts w:ascii="Arial" w:hAnsi="Arial"/>
          <w:noProof w:val="0"/>
          <w:rtl/>
        </w:rPr>
        <w:t xml:space="preserve"> בגדר                     "חוות-דעת פרטית", היינו -  אין המדובר במסמכים של "מומחה מטעם" מי מהצדדים.  </w:t>
      </w:r>
    </w:p>
    <w:p w:rsidR="001B6872" w:rsidRDefault="001B6872" w:rsidP="001B6872">
      <w:pPr>
        <w:pStyle w:val="ac"/>
        <w:rPr>
          <w:rFonts w:ascii="Arial" w:hAnsi="Arial"/>
          <w:noProof w:val="0"/>
          <w:rtl/>
        </w:rPr>
      </w:pPr>
    </w:p>
    <w:p w:rsidR="001B6872" w:rsidRDefault="001B6872" w:rsidP="001B6872">
      <w:pPr>
        <w:pStyle w:val="ac"/>
        <w:rPr>
          <w:rFonts w:ascii="Arial" w:hAnsi="Arial"/>
          <w:noProof w:val="0"/>
          <w:rtl/>
        </w:rPr>
      </w:pPr>
    </w:p>
    <w:p w:rsidR="001B6872" w:rsidRDefault="001B6872" w:rsidP="001B6872">
      <w:pPr>
        <w:pStyle w:val="ac"/>
        <w:rPr>
          <w:rFonts w:ascii="Arial" w:hAnsi="Arial"/>
          <w:noProof w:val="0"/>
          <w:rtl/>
        </w:rPr>
      </w:pPr>
    </w:p>
    <w:p w:rsidR="001B6872" w:rsidRDefault="001B6872" w:rsidP="001B6872">
      <w:pPr>
        <w:pStyle w:val="ac"/>
        <w:rPr>
          <w:rFonts w:ascii="Arial" w:hAnsi="Arial"/>
          <w:noProof w:val="0"/>
          <w:rtl/>
        </w:rPr>
      </w:pPr>
    </w:p>
    <w:p w:rsidR="001B6872" w:rsidRDefault="001B6872" w:rsidP="001B6872">
      <w:pPr>
        <w:pStyle w:val="ac"/>
        <w:numPr>
          <w:ilvl w:val="0"/>
          <w:numId w:val="1"/>
        </w:numPr>
        <w:spacing w:line="360" w:lineRule="auto"/>
        <w:jc w:val="both"/>
        <w:rPr>
          <w:rFonts w:ascii="Arial" w:hAnsi="Arial"/>
          <w:noProof w:val="0"/>
          <w:rtl/>
        </w:rPr>
      </w:pPr>
      <w:r>
        <w:rPr>
          <w:rFonts w:ascii="Arial" w:hAnsi="Arial"/>
          <w:noProof w:val="0"/>
          <w:rtl/>
        </w:rPr>
        <w:lastRenderedPageBreak/>
        <w:t xml:space="preserve">בפסיקה נקבע, כי מותר להציג בפני מומחה שמונה על ידי בית המשפט לענייני משפחה, </w:t>
      </w:r>
      <w:r>
        <w:rPr>
          <w:rFonts w:ascii="Arial" w:hAnsi="Arial"/>
          <w:b/>
          <w:bCs/>
          <w:noProof w:val="0"/>
          <w:rtl/>
        </w:rPr>
        <w:t>"חומר רפואי גולמי או שוטף, שלא הוכן לצורך הליכים משפטיים וזאת כדי שלא להטות בשלב הכנת חוות הדעת את עמדת המומחה שמונה"</w:t>
      </w:r>
      <w:r>
        <w:rPr>
          <w:rFonts w:ascii="Arial" w:hAnsi="Arial"/>
          <w:noProof w:val="0"/>
          <w:rtl/>
        </w:rPr>
        <w:t xml:space="preserve"> (בע"מ 8412/14 </w:t>
      </w:r>
      <w:r>
        <w:rPr>
          <w:rFonts w:ascii="Arial" w:hAnsi="Arial"/>
          <w:b/>
          <w:bCs/>
          <w:noProof w:val="0"/>
          <w:rtl/>
        </w:rPr>
        <w:t>פלונים נ' פלונית</w:t>
      </w:r>
      <w:r>
        <w:rPr>
          <w:rFonts w:ascii="Arial" w:hAnsi="Arial"/>
          <w:noProof w:val="0"/>
          <w:rtl/>
        </w:rPr>
        <w:t xml:space="preserve"> [פורסם בנבו] 18.1.2015); ראה גם רמ"ש 55987-02-21 </w:t>
      </w:r>
      <w:r>
        <w:rPr>
          <w:rFonts w:ascii="Arial" w:hAnsi="Arial"/>
          <w:b/>
          <w:bCs/>
          <w:noProof w:val="0"/>
          <w:rtl/>
        </w:rPr>
        <w:t>מ.ש. ואח' נ' ו.ס.</w:t>
      </w:r>
      <w:r>
        <w:rPr>
          <w:rFonts w:ascii="Arial" w:hAnsi="Arial"/>
          <w:noProof w:val="0"/>
          <w:rtl/>
        </w:rPr>
        <w:t xml:space="preserve"> [פורסם בנבו] 25.3.2021). </w:t>
      </w:r>
    </w:p>
    <w:p w:rsidR="001B6872" w:rsidRDefault="001B6872" w:rsidP="001B6872">
      <w:pPr>
        <w:pStyle w:val="ac"/>
        <w:rPr>
          <w:rFonts w:ascii="Arial" w:hAnsi="Arial"/>
          <w:noProof w:val="0"/>
        </w:rPr>
      </w:pPr>
    </w:p>
    <w:p w:rsidR="001B6872" w:rsidRDefault="001B6872" w:rsidP="001B6872">
      <w:pPr>
        <w:pStyle w:val="ac"/>
        <w:spacing w:line="360" w:lineRule="auto"/>
        <w:ind w:left="360"/>
        <w:jc w:val="both"/>
        <w:rPr>
          <w:rFonts w:ascii="Arial" w:hAnsi="Arial"/>
          <w:noProof w:val="0"/>
          <w:rtl/>
        </w:rPr>
      </w:pPr>
      <w:r>
        <w:rPr>
          <w:rFonts w:ascii="Arial" w:hAnsi="Arial"/>
          <w:noProof w:val="0"/>
          <w:u w:val="single"/>
          <w:rtl/>
        </w:rPr>
        <w:t>ראשית</w:t>
      </w:r>
      <w:r>
        <w:rPr>
          <w:rFonts w:ascii="Arial" w:hAnsi="Arial"/>
          <w:noProof w:val="0"/>
          <w:rtl/>
        </w:rPr>
        <w:t xml:space="preserve"> – אין המדובר במסמכים שנערכו </w:t>
      </w:r>
      <w:r>
        <w:rPr>
          <w:rFonts w:ascii="Arial" w:hAnsi="Arial"/>
          <w:b/>
          <w:bCs/>
          <w:noProof w:val="0"/>
          <w:u w:val="single"/>
          <w:rtl/>
        </w:rPr>
        <w:t>לצורך ההליכים המשפטיים דנא</w:t>
      </w:r>
      <w:r>
        <w:rPr>
          <w:rFonts w:ascii="Arial" w:hAnsi="Arial"/>
          <w:noProof w:val="0"/>
          <w:rtl/>
        </w:rPr>
        <w:t xml:space="preserve">; במילים אחרות: המסמכים לא נערכו בזיקה להליכים שנפתחו בשנת 2021, העוסקים בשאלת כשרותה של המנוחה לצוות את רכושה (ראה רמ"ש 31283-05-15 </w:t>
      </w:r>
      <w:r>
        <w:rPr>
          <w:rFonts w:ascii="Arial" w:hAnsi="Arial"/>
          <w:b/>
          <w:bCs/>
          <w:noProof w:val="0"/>
          <w:rtl/>
        </w:rPr>
        <w:t>ר. הז נ' ר.ו.</w:t>
      </w:r>
      <w:r>
        <w:rPr>
          <w:rFonts w:ascii="Arial" w:hAnsi="Arial"/>
          <w:noProof w:val="0"/>
          <w:rtl/>
        </w:rPr>
        <w:t xml:space="preserve"> [פורסם בנבו] 31.5.2015). ודוק: שני המסמכים נערכו עוד בטרם ערכה המנוחה את צוואתה המאוחרת, כך שלא ניתן לטעון, כי המדובר במסמכים שנערכו בזיקה להליכים משפטיים הנוגעים לצוואה, שיפתחו בחלוף 26 שנים.  </w:t>
      </w:r>
    </w:p>
    <w:p w:rsidR="001B6872" w:rsidRDefault="001B6872" w:rsidP="001B6872">
      <w:pPr>
        <w:pStyle w:val="ac"/>
        <w:ind w:left="360"/>
        <w:jc w:val="both"/>
        <w:rPr>
          <w:rFonts w:ascii="Arial" w:hAnsi="Arial"/>
          <w:noProof w:val="0"/>
        </w:rPr>
      </w:pPr>
    </w:p>
    <w:p w:rsidR="001B6872" w:rsidRDefault="001B6872" w:rsidP="001B6872">
      <w:pPr>
        <w:pStyle w:val="ac"/>
        <w:spacing w:line="360" w:lineRule="auto"/>
        <w:ind w:left="360"/>
        <w:jc w:val="both"/>
        <w:rPr>
          <w:rFonts w:ascii="Arial" w:hAnsi="Arial"/>
          <w:noProof w:val="0"/>
          <w:rtl/>
        </w:rPr>
      </w:pPr>
      <w:r>
        <w:rPr>
          <w:rFonts w:ascii="Arial" w:hAnsi="Arial"/>
          <w:noProof w:val="0"/>
          <w:u w:val="single"/>
          <w:rtl/>
        </w:rPr>
        <w:t>שנית</w:t>
      </w:r>
      <w:r>
        <w:rPr>
          <w:rFonts w:ascii="Arial" w:hAnsi="Arial"/>
          <w:noProof w:val="0"/>
          <w:rtl/>
        </w:rPr>
        <w:t xml:space="preserve"> - שני המסמכים </w:t>
      </w:r>
      <w:r>
        <w:rPr>
          <w:rFonts w:ascii="Arial" w:hAnsi="Arial"/>
          <w:b/>
          <w:bCs/>
          <w:noProof w:val="0"/>
          <w:u w:val="single"/>
          <w:rtl/>
        </w:rPr>
        <w:t>אינם</w:t>
      </w:r>
      <w:r>
        <w:rPr>
          <w:rFonts w:ascii="Arial" w:hAnsi="Arial"/>
          <w:noProof w:val="0"/>
          <w:rtl/>
        </w:rPr>
        <w:t xml:space="preserve"> עוסקים כלל בשאלת כשרותה של המנוחה לצוות, ולא היתה כוונה של מי מהצדדים לקבל חוות-דעת באשר לכושרה לצוות; נושא כושרה לצוות לא עמד כלל על הפרק בעת שנערכו המסמכים, שהרי הצוואה נערכה על ידי המנוחה מספר חודשים לאחר מכן. </w:t>
      </w:r>
    </w:p>
    <w:p w:rsidR="001B6872" w:rsidRDefault="001B6872" w:rsidP="001B6872">
      <w:pPr>
        <w:pStyle w:val="ac"/>
        <w:spacing w:line="360" w:lineRule="auto"/>
        <w:ind w:left="360"/>
        <w:jc w:val="both"/>
        <w:rPr>
          <w:rFonts w:ascii="Arial" w:hAnsi="Arial"/>
          <w:noProof w:val="0"/>
          <w:rtl/>
        </w:rPr>
      </w:pPr>
      <w:r>
        <w:rPr>
          <w:rFonts w:ascii="Arial" w:hAnsi="Arial"/>
          <w:noProof w:val="0"/>
          <w:rtl/>
        </w:rPr>
        <w:t xml:space="preserve">מסמך א' הוא מסמך רפואי מיום 31.5.1995 העוסק בשאלה - האם נוכח מצבה הפיזי והמנטלי יש להעביר את המנוחה למוסד סיעודי; מסמך ב' הוא צו שיפוטי העוסק בשאלה - האם נוכח מצבה של המנוחה יש למנות לה מפקח או תומך החלטות (על פי תרגום המבקשת) או אפוטרופוס (על פי תרגום המשיבה). כאמור לעיל, במסמך ב' מובאים ציטוטים מחוות-דעת רפואית מאפריל 1995 ומדו"ח עו"ס מינואר 1995. </w:t>
      </w:r>
    </w:p>
    <w:p w:rsidR="001B6872" w:rsidRDefault="001B6872" w:rsidP="001B6872">
      <w:pPr>
        <w:pStyle w:val="ac"/>
        <w:rPr>
          <w:rFonts w:ascii="Arial" w:hAnsi="Arial"/>
          <w:noProof w:val="0"/>
        </w:rPr>
      </w:pPr>
    </w:p>
    <w:p w:rsidR="001B6872" w:rsidRDefault="001B6872" w:rsidP="001B6872">
      <w:pPr>
        <w:pStyle w:val="ac"/>
        <w:spacing w:line="360" w:lineRule="auto"/>
        <w:ind w:left="360"/>
        <w:jc w:val="both"/>
        <w:rPr>
          <w:rFonts w:ascii="Arial" w:hAnsi="Arial"/>
          <w:b/>
          <w:bCs/>
          <w:noProof w:val="0"/>
          <w:u w:val="single"/>
          <w:rtl/>
        </w:rPr>
      </w:pPr>
      <w:r>
        <w:rPr>
          <w:rFonts w:ascii="Arial" w:hAnsi="Arial"/>
          <w:noProof w:val="0"/>
          <w:u w:val="single"/>
          <w:rtl/>
        </w:rPr>
        <w:t>שלישית</w:t>
      </w:r>
      <w:r>
        <w:rPr>
          <w:rFonts w:ascii="Arial" w:hAnsi="Arial"/>
          <w:noProof w:val="0"/>
          <w:rtl/>
        </w:rPr>
        <w:t xml:space="preserve"> – במסמכים יש תיעוד באשר למצבה הרפואי של המנוחה כפי שהיה בזמן אמת; המסמכים נערכו באופן שוטף, ועל ידי מומחים שבדקו את המנוחה, ובמובן זה </w:t>
      </w:r>
      <w:r>
        <w:rPr>
          <w:rFonts w:ascii="Arial" w:hAnsi="Arial"/>
          <w:b/>
          <w:bCs/>
          <w:noProof w:val="0"/>
          <w:u w:val="single"/>
          <w:rtl/>
        </w:rPr>
        <w:t xml:space="preserve">המסמכים הם "חומר רפואי גולמי". </w:t>
      </w:r>
    </w:p>
    <w:p w:rsidR="001B6872" w:rsidRDefault="001B6872" w:rsidP="001B6872">
      <w:pPr>
        <w:pStyle w:val="ac"/>
        <w:spacing w:line="360" w:lineRule="auto"/>
        <w:ind w:left="360"/>
        <w:jc w:val="both"/>
        <w:rPr>
          <w:rFonts w:ascii="Arial" w:hAnsi="Arial"/>
          <w:noProof w:val="0"/>
          <w:rtl/>
        </w:rPr>
      </w:pPr>
    </w:p>
    <w:p w:rsidR="001B6872" w:rsidRDefault="001B6872" w:rsidP="001B6872">
      <w:pPr>
        <w:pStyle w:val="ac"/>
        <w:numPr>
          <w:ilvl w:val="0"/>
          <w:numId w:val="1"/>
        </w:numPr>
        <w:spacing w:line="360" w:lineRule="auto"/>
        <w:jc w:val="both"/>
        <w:rPr>
          <w:rFonts w:ascii="Arial" w:hAnsi="Arial"/>
          <w:noProof w:val="0"/>
          <w:rtl/>
        </w:rPr>
      </w:pPr>
      <w:r>
        <w:rPr>
          <w:rFonts w:ascii="Arial" w:hAnsi="Arial"/>
          <w:noProof w:val="0"/>
          <w:rtl/>
        </w:rPr>
        <w:t xml:space="preserve">לאור כל האמור לעיל, הבקשה נדחית. </w:t>
      </w:r>
    </w:p>
    <w:p w:rsidR="001B6872" w:rsidRDefault="001B6872" w:rsidP="001B6872">
      <w:pPr>
        <w:pStyle w:val="ac"/>
        <w:ind w:left="360"/>
        <w:jc w:val="both"/>
        <w:rPr>
          <w:rFonts w:ascii="Arial" w:hAnsi="Arial"/>
          <w:noProof w:val="0"/>
        </w:rPr>
      </w:pPr>
    </w:p>
    <w:p w:rsidR="001B6872" w:rsidRDefault="001B6872" w:rsidP="001B6872">
      <w:pPr>
        <w:pStyle w:val="ac"/>
        <w:numPr>
          <w:ilvl w:val="0"/>
          <w:numId w:val="1"/>
        </w:numPr>
        <w:spacing w:line="360" w:lineRule="auto"/>
        <w:jc w:val="both"/>
        <w:rPr>
          <w:rFonts w:ascii="Arial" w:hAnsi="Arial"/>
          <w:noProof w:val="0"/>
        </w:rPr>
      </w:pPr>
      <w:r>
        <w:rPr>
          <w:rFonts w:ascii="Arial" w:hAnsi="Arial"/>
          <w:noProof w:val="0"/>
          <w:rtl/>
        </w:rPr>
        <w:t xml:space="preserve">לאור המחלוקת שבין הצדדים באשר לתרגום הנכון של מסמך ב', על הצדדים לשתף פעולה ולהגיש בתוך 20 ימים תרגום לעברית של מסמך ב' על ידי מתרגם המקובל עליהם. בהעדר הסכמה ימונה על ידי מתורגמן. </w:t>
      </w:r>
    </w:p>
    <w:p w:rsidR="001B6872" w:rsidRDefault="001B6872" w:rsidP="001B6872">
      <w:pPr>
        <w:pStyle w:val="ac"/>
        <w:rPr>
          <w:rFonts w:ascii="Arial" w:hAnsi="Arial"/>
          <w:noProof w:val="0"/>
        </w:rPr>
      </w:pPr>
    </w:p>
    <w:p w:rsidR="001B6872" w:rsidRDefault="001B6872" w:rsidP="001B6872">
      <w:pPr>
        <w:pStyle w:val="ac"/>
        <w:numPr>
          <w:ilvl w:val="0"/>
          <w:numId w:val="1"/>
        </w:numPr>
        <w:spacing w:line="360" w:lineRule="auto"/>
        <w:jc w:val="both"/>
        <w:rPr>
          <w:rFonts w:ascii="Arial" w:hAnsi="Arial"/>
          <w:noProof w:val="0"/>
          <w:rtl/>
        </w:rPr>
      </w:pPr>
      <w:r>
        <w:rPr>
          <w:rFonts w:ascii="Arial" w:hAnsi="Arial"/>
          <w:noProof w:val="0"/>
          <w:rtl/>
        </w:rPr>
        <w:t>לאור התוצאה אליה הגעתי, המבקשת תישא בהוצאות המשיבה בסך של 2,500 ₪.</w:t>
      </w:r>
    </w:p>
    <w:p w:rsidR="001B6872" w:rsidRDefault="001B6872" w:rsidP="001B6872">
      <w:pPr>
        <w:pStyle w:val="ac"/>
        <w:ind w:left="360"/>
        <w:jc w:val="both"/>
        <w:rPr>
          <w:rFonts w:ascii="Arial" w:hAnsi="Arial"/>
          <w:noProof w:val="0"/>
        </w:rPr>
      </w:pPr>
    </w:p>
    <w:p w:rsidR="001B6872" w:rsidRDefault="001B6872" w:rsidP="001B6872">
      <w:pPr>
        <w:pStyle w:val="ac"/>
        <w:numPr>
          <w:ilvl w:val="0"/>
          <w:numId w:val="1"/>
        </w:numPr>
        <w:spacing w:line="360" w:lineRule="auto"/>
        <w:jc w:val="both"/>
        <w:rPr>
          <w:rFonts w:ascii="Arial" w:hAnsi="Arial"/>
          <w:noProof w:val="0"/>
        </w:rPr>
      </w:pPr>
      <w:r>
        <w:rPr>
          <w:rFonts w:ascii="Arial" w:hAnsi="Arial"/>
          <w:noProof w:val="0"/>
          <w:rtl/>
        </w:rPr>
        <w:t xml:space="preserve">החלטה זו מותרת לפרסום בהשמטת פרטים מזהים. </w:t>
      </w:r>
    </w:p>
    <w:p w:rsidR="00CF3996" w:rsidRPr="001B6872" w:rsidRDefault="00CF3996" w:rsidP="00CF3996">
      <w:pPr>
        <w:spacing w:line="360" w:lineRule="auto"/>
        <w:jc w:val="both"/>
        <w:rPr>
          <w:rFonts w:ascii="Arial" w:hAnsi="Arial"/>
          <w:noProof w:val="0"/>
        </w:rPr>
      </w:pPr>
    </w:p>
    <w:p w:rsidR="00CF3996" w:rsidRDefault="00CF3996" w:rsidP="00CF399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279535879"/>
          <w:text w:multiLine="1"/>
        </w:sdtPr>
        <w:sdtEndPr/>
        <w:sdtContent>
          <w:r>
            <w:rPr>
              <w:rFonts w:ascii="Arial" w:hAnsi="Arial"/>
              <w:noProof w:val="0"/>
              <w:rtl/>
            </w:rPr>
            <w:t>כ"ג חשוון תשפ"ה</w:t>
          </w:r>
        </w:sdtContent>
      </w:sdt>
      <w:r>
        <w:rPr>
          <w:rFonts w:ascii="Arial" w:hAnsi="Arial"/>
          <w:noProof w:val="0"/>
          <w:rtl/>
        </w:rPr>
        <w:t xml:space="preserve">, </w:t>
      </w:r>
      <w:sdt>
        <w:sdtPr>
          <w:rPr>
            <w:rtl/>
          </w:rPr>
          <w:alias w:val="1456"/>
          <w:tag w:val="1456"/>
          <w:id w:val="-238172823"/>
          <w:text w:multiLine="1"/>
        </w:sdtPr>
        <w:sdtEndPr/>
        <w:sdtContent>
          <w:r>
            <w:rPr>
              <w:rFonts w:ascii="Arial" w:hAnsi="Arial"/>
              <w:noProof w:val="0"/>
              <w:rtl/>
            </w:rPr>
            <w:t>24 נובמבר 2024</w:t>
          </w:r>
        </w:sdtContent>
      </w:sdt>
      <w:r>
        <w:rPr>
          <w:rFonts w:ascii="Arial" w:hAnsi="Arial"/>
          <w:noProof w:val="0"/>
          <w:rtl/>
        </w:rPr>
        <w:t>, בהעדר הצדדים.</w:t>
      </w:r>
    </w:p>
    <w:p w:rsidR="00CF3996" w:rsidRDefault="00A153A0" w:rsidP="00CF3996">
      <w:pPr>
        <w:spacing w:line="360" w:lineRule="auto"/>
        <w:ind w:left="3600" w:firstLine="720"/>
        <w:jc w:val="both"/>
      </w:pPr>
      <w:sdt>
        <w:sdtPr>
          <w:rPr>
            <w:rtl/>
          </w:rPr>
          <w:alias w:val="MergeField"/>
          <w:tag w:val="1237"/>
          <w:id w:val="-1005430549"/>
        </w:sdtPr>
        <w:sdtEndPr/>
        <w:sdtContent>
          <w:r w:rsidR="008A3736">
            <w:drawing>
              <wp:inline distT="0" distB="0" distL="0" distR="0" wp14:editId="50D07946">
                <wp:extent cx="1990724"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90724" cy="1104900"/>
                        </a:xfrm>
                        <a:prstGeom prst="rect">
                          <a:avLst/>
                        </a:prstGeom>
                      </pic:spPr>
                    </pic:pic>
                  </a:graphicData>
                </a:graphic>
              </wp:inline>
            </w:drawing>
          </w:r>
        </w:sdtContent>
      </w:sdt>
    </w:p>
    <w:p w:rsidR="00CF3996" w:rsidRDefault="00CF3996" w:rsidP="00CF3996">
      <w:pPr>
        <w:spacing w:line="360" w:lineRule="auto"/>
        <w:ind w:left="3600" w:firstLine="720"/>
        <w:jc w:val="both"/>
        <w:rPr>
          <w:rtl/>
        </w:rPr>
      </w:pPr>
    </w:p>
    <w:p w:rsidR="00CF3996" w:rsidRDefault="00CF3996" w:rsidP="00CF3996">
      <w:pPr>
        <w:spacing w:line="360" w:lineRule="auto"/>
        <w:ind w:left="3600" w:firstLine="720"/>
        <w:jc w:val="both"/>
        <w:rPr>
          <w:rFonts w:ascii="Arial" w:hAnsi="Arial"/>
          <w:noProof w:val="0"/>
        </w:rPr>
      </w:pPr>
    </w:p>
    <w:p w:rsidR="00CF3996" w:rsidRDefault="00CF3996" w:rsidP="00CF399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כ"ג חשוון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24 נובמבר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153A0">
      <w:pPr>
        <w:spacing w:line="360" w:lineRule="auto"/>
        <w:ind w:left="3600" w:firstLine="720"/>
        <w:jc w:val="both"/>
        <w:rPr>
          <w:rFonts w:ascii="Arial" w:hAnsi="Arial"/>
          <w:noProof w:val="0"/>
          <w:rtl/>
        </w:rPr>
      </w:pPr>
      <w:sdt>
        <w:sdtPr>
          <w:rPr>
            <w:rtl/>
          </w:rPr>
          <w:alias w:val="1237"/>
          <w:tag w:val="1237"/>
          <w:id w:val="944426741"/>
          <w:text w:multiLine="1"/>
        </w:sdtPr>
        <w:sdtEndPr/>
        <w:sdtContent>
          <w:r w:rsidR="00011212">
            <w:rPr>
              <w:rFonts w:ascii="Arial" w:hAnsi="Arial"/>
              <w:noProof w:val="0"/>
              <w:rtl/>
            </w:rPr>
            <w:t>חתימה</w:t>
          </w:r>
        </w:sdtContent>
      </w:sdt>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3A0" w:rsidRDefault="00A153A0">
      <w:r>
        <w:separator/>
      </w:r>
    </w:p>
  </w:endnote>
  <w:endnote w:type="continuationSeparator" w:id="0">
    <w:p w:rsidR="00A153A0" w:rsidRDefault="00A1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B6A" w:rsidRDefault="00606B6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06B6A">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06B6A">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B6A" w:rsidRDefault="00606B6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3A0" w:rsidRDefault="00A153A0">
      <w:r>
        <w:separator/>
      </w:r>
    </w:p>
  </w:footnote>
  <w:footnote w:type="continuationSeparator" w:id="0">
    <w:p w:rsidR="00A153A0" w:rsidRDefault="00A15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B6A" w:rsidRDefault="00606B6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A153A0" w:rsidP="00680DC3">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39526-11-22</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680DC3">
                <w:rPr>
                  <w:rFonts w:hint="cs"/>
                  <w:b/>
                  <w:bCs/>
                  <w:noProof w:val="0"/>
                  <w:sz w:val="26"/>
                  <w:szCs w:val="26"/>
                  <w:rtl/>
                </w:rPr>
                <w:t xml:space="preserve">פלונית </w:t>
              </w:r>
              <w:r w:rsidR="00094813">
                <w:rPr>
                  <w:b/>
                  <w:bCs/>
                  <w:noProof w:val="0"/>
                  <w:sz w:val="26"/>
                  <w:szCs w:val="26"/>
                  <w:rtl/>
                </w:rPr>
                <w:t xml:space="preserve"> נ' האפוטרופוס הכללי במחוז תל-אביב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B6A" w:rsidRDefault="00606B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51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5316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53161&amp;lt;/CaseID&amp;gt;_x000d__x000a_        &amp;lt;CaseMonth&amp;gt;11&amp;lt;/CaseMonth&amp;gt;_x000d__x000a_        &amp;lt;CaseYear&amp;gt;2022&amp;lt;/CaseYear&amp;gt;_x000d__x000a_        &amp;lt;CaseNumber&amp;gt;39526&amp;lt;/CaseNumber&amp;gt;_x000d__x000a_        &amp;lt;NumeratorGroupID&amp;gt;1&amp;lt;/NumeratorGroupID&amp;gt;_x000d__x000a_        &amp;lt;CaseName&amp;gt;הלוי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526-11-22&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1-13T13:00:00+02:00&amp;lt;/CasePreviousSessionDate&amp;gt;_x000d__x000a_        &amp;lt;CaseNextSessionDate&amp;gt;2025-05-15T10:00:00+03:00&amp;lt;/CaseNextSessionDate&amp;gt;_x000d__x000a_        &amp;lt;CaseNextDeterminingTask&amp;gt;142&amp;lt;/CaseNextDeterminingTask&amp;gt;_x000d__x000a_        &amp;lt;TemporaryAidStatus /&amp;gt;_x000d__x000a_        &amp;lt;CaseOpenDate&amp;gt;2022-11-17T16:26: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2&amp;lt;/CaseNextSessionTypeID&amp;gt;_x000d__x000a_        &amp;lt;CasePreviousSessionTypeID&amp;gt;1&amp;lt;/CasePreviousSessionTypeID&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1&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53161&amp;lt;/CaseID&amp;gt;_x000d__x000a_        &amp;lt;CaseMonth&amp;gt;11&amp;lt;/CaseMonth&amp;gt;_x000d__x000a_        &amp;lt;CaseYear&amp;gt;2022&amp;lt;/CaseYear&amp;gt;_x000d__x000a_        &amp;lt;CaseNumber&amp;gt;39526&amp;lt;/CaseNumber&amp;gt;_x000d__x000a_        &amp;lt;NumeratorGroupID&amp;gt;1&amp;lt;/NumeratorGroupID&amp;gt;_x000d__x000a_        &amp;lt;CaseName&amp;gt;הלוי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526-11-22&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142&amp;lt;/CaseNextDeterminingTask&amp;gt;_x000d__x000a_        &amp;lt;CaseOpenDate&amp;gt;2022-11-17T16:26: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1&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5&amp;lt;/DecisionNumber&amp;gt;_x000d__x000a_        &amp;lt;DecisionStatusID&amp;gt;1&amp;lt;/DecisionStatusID&amp;gt;_x000d__x000a_        &amp;lt;DecisionStatusChangeDate&amp;gt;2024-11-24T11:51:41.4919236+02:00&amp;lt;/DecisionStatusChangeDate&amp;gt;_x000d__x000a_        &amp;lt;DecisionSignatureDate&amp;gt;2024-11-24T11:51:41.4919236+02:00&amp;lt;/DecisionSignatureDate&amp;gt;_x000d__x000a_        &amp;lt;DecisionSignatureUserID&amp;gt;032066839@GOV.IL&amp;lt;/DecisionSignatureUserID&amp;gt;_x000d__x000a_        &amp;lt;DecisionCreateDate&amp;gt;2024-11-24T11:51:41.4919236+02:00&amp;lt;/DecisionCreateDate&amp;gt;_x000d__x000a_        &amp;lt;DecisionChangeDate&amp;gt;2024-11-24T11:51:41.4919236+02:00&amp;lt;/DecisionChangeDate&amp;gt;_x000d__x000a_        &amp;lt;DecisionChangeUserID&amp;gt;0320668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68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683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753161&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9984769&amp;lt;/MotionID&amp;gt;_x000d__x000a_        &amp;lt;IsOriginalMotion&amp;gt;false&amp;lt;/IsOriginalMotion&amp;gt;_x000d__x000a_        &amp;lt;MotionName&amp;gt;בקשה של נתבע 2 בקשה דחופה להורות למומחה להתעלם ממסמכים שנמסרו לו ע&amp;quot;י הנתבעת&amp;lt;/MotionName&amp;gt;_x000d__x000a_      &amp;lt;/dt_DecisionMotion&amp;gt;_x000d__x000a_    &amp;lt;/DecisionDS&amp;gt;_x000d__x000a_  &amp;lt;/diffgr:diffgram&amp;gt;_x000d__x000a_&amp;lt;/DecisionDS&amp;gt;"/>
    <w:docVar w:name="NGCS.TemplateCaseInterestID" w:val="161"/>
    <w:docVar w:name="NGCS.TemplateCaseTypeID" w:val="86"/>
    <w:docVar w:name="NGCS.TemplateCategoryID" w:val="80"/>
    <w:docVar w:name="NGCS.TemplateCourtID" w:val="33"/>
    <w:docVar w:name="NGCS.TemplateProceedingID" w:val="3"/>
    <w:docVar w:name="SelectedDocumentID" w:val="459056772"/>
    <w:docVar w:name="WordClientAssemblyName" w:val="NGCS.Decision.ClientWordBL"/>
    <w:docVar w:name="WordClientClassName" w:val="NGCS.Decision.ClientWordBL.DecisionClient"/>
  </w:docVars>
  <w:rsids>
    <w:rsidRoot w:val="002914D6"/>
    <w:rsid w:val="00011212"/>
    <w:rsid w:val="00080A1F"/>
    <w:rsid w:val="00094813"/>
    <w:rsid w:val="0014058F"/>
    <w:rsid w:val="001B6872"/>
    <w:rsid w:val="001E0EB7"/>
    <w:rsid w:val="00242BA8"/>
    <w:rsid w:val="002914D6"/>
    <w:rsid w:val="002F5307"/>
    <w:rsid w:val="003C2B44"/>
    <w:rsid w:val="003C669B"/>
    <w:rsid w:val="00503A57"/>
    <w:rsid w:val="00530E94"/>
    <w:rsid w:val="00606B6A"/>
    <w:rsid w:val="00680DC3"/>
    <w:rsid w:val="006B7B6A"/>
    <w:rsid w:val="00822AA5"/>
    <w:rsid w:val="008A30F4"/>
    <w:rsid w:val="008A3736"/>
    <w:rsid w:val="008D4BDE"/>
    <w:rsid w:val="00946045"/>
    <w:rsid w:val="00964713"/>
    <w:rsid w:val="00A153A0"/>
    <w:rsid w:val="00A54660"/>
    <w:rsid w:val="00A7661B"/>
    <w:rsid w:val="00B31305"/>
    <w:rsid w:val="00C226D6"/>
    <w:rsid w:val="00CE7F78"/>
    <w:rsid w:val="00CF3996"/>
    <w:rsid w:val="00EC08AF"/>
    <w:rsid w:val="00F50E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CF39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661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רון עוזרי</FullName>
        <FirstName>רון</FirstName>
        <LastName>עוזרי</LastName>
        <PartyPropertyName/>
        <AuthenticationTypeAndNumber>מ.ר. 26584</AuthenticationTypeAndNumber>
        <RepresentatedOrRepresentativesNames>רות אנוש</RepresentatedOrRepresentativesNames>
        <RepresentatedOrRepresentativesCount>1</RepresentatedOrRepresentativesCount>
        <InvitedBy/>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262394853</CasePartyID>
        <PartyTypeID>2</PartyTypeID>
        <ActivityStatusID>1</ActivityStatusID>
        <PartyAliasID>21</PartyAliasID>
        <PartyAliasName>בא כוח נתבעים</PartyAliasName>
        <LegalEntityID>391380</LegalEntityID>
        <CaseLegalEntityID>126588632</CaseLegalEntityID>
        <AuthenticationTypeID>4</AuthenticationTypeID>
        <AuthenticationTypeName>מ.ר.</AuthenticationTypeName>
        <LegalEntityNumber>26584</LegalEntityNumber>
        <IsMainPartyType>true</IsMainPartyType>
        <CaseDisplayIdentifier>39526-11-22</CaseDisplayIdentifier>
        <CaseTypeID>86</CaseTypeID>
        <CaseTypeName>תיק עזבונות (ת"ע)</CaseTypeName>
        <CaseName>הלוי נ' האפוטרופוס הכללי במחוז תל-אביב ואח'</CaseName>
        <FullAddress>הירקון 5 בני ברק מגדל לייף B</FullAddress>
        <EmailAddress>Ozery@elmaliah.com</EmailAddress>
        <MotionID>0</MotionID>
        <CasePleaID>0</CasePleaID>
        <LinkedCaseID>0</LinkedCaseID>
        <PartyID>2</PartyID>
        <CasePartyCategoryID>2</CasePartyCategoryID>
        <LegalEntityAddressID>88566289</LegalEntityAddressID>
        <LegalEntityEmailAddressID>68317036</LegalEntityEmailAddressID>
        <PleaTypeID>253</PleaTypeID>
        <LawyerOfficeName>משרד עו"ד: רון עוזרי</LawyerOfficeName>
        <LawyerOfficeID>432024</LawyerOfficeID>
        <GroupPartyAlias/>
        <IsConverted>false</IsConverted>
        <LegalEntityNameID>12364</LegalEntityNameID>
        <RepresentatedNamesOfAssistant/>
        <LegalEntityTypeID>4</LegalEntityTypeID>
        <IsVerdictExists>false</IsVerdictExists>
        <IsAsirAzir>false</IsAsirAzir>
        <MainAndSecSpec/>
        <IsPublicationProhibited>false</IsPublicationProhibited>
        <PublicationProhibitedFullName>רון עוזרי</PublicationProhibitedFullName>
      </CaseParties>
      <CaseParties>
        <PartyTypeName>מומחה</PartyTypeName>
        <ProceedingType>בית משפט</ProceedingType>
        <PleaName>כתב התנגדות בעזבונות</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278302376</CasePartyID>
        <PartyTypeID>5</PartyTypeID>
        <ActivityStatusID>1</ActivityStatusID>
        <PartyAliasID>102</PartyAliasID>
        <PartyAliasName>מומחה בית משפט</PartyAliasName>
        <LegalEntityID>12688421</LegalEntityID>
        <CaseLegalEntityID>132532552</CaseLegalEntityID>
        <AuthenticationTypeID>1</AuthenticationTypeID>
        <AuthenticationTypeName>ת"ז</AuthenticationTypeName>
        <LegalEntityNumber>050500784</LegalEntityNumber>
        <IsMainPartyType>true</IsMainPartyType>
        <CaseDisplayIdentifier>39526-11-22</CaseDisplayIdentifier>
        <CaseTypeID>86</CaseTypeID>
        <CaseTypeName>תיק עזבונות (ת"ע)</CaseTypeName>
        <CaseName>הלוי נ' האפוטרופוס הכללי במחוז תל-אביב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253</PleaTypeID>
        <GroupPartyAlias/>
        <IsConverted>false</IsConverted>
        <LegalEntityNameID>12423524</LegalEntityNameID>
        <RepresentatedNamesOfAssistant/>
        <LegalEntityTypeID>6</LegalEntityTypeID>
        <IsVerdictExists>false</IsVerdictExists>
        <IsAsirAzir>false</IsAsirAzir>
        <MainAndSecSpec/>
        <IsPublicationProhibited>false</IsPublicationProhibited>
        <PublicationProhibitedFullName>שמואל פניג</PublicationProhibitedFullName>
      </CaseParties>
      <CaseParties>
        <PartyTypeName>צד</PartyTypeName>
        <ProceedingType>בקשות</ProceedingType>
        <PleaName>בקשה של נתבע 2 בקשה דחופה להורות למומחה להתעלם ממסמכים שנמסרו לו ע"י הנתבעת</PleaName>
        <PartyBelonging>צד א'</PartyBelonging>
        <RoleName>מבקש 1</RoleName>
        <IsSubProceeding>TRUE</IsSubProceeding>
        <FullName>רות אנוש</FullName>
        <FirstName>רות</FirstName>
        <LastName>אנוש</LastName>
        <PartyPropertyName/>
        <AuthenticationTypeAndNumber>ת"ז </AuthenticationTypeAndNumber>
        <RepresentatedOrRepresentativesNames>רון עוזרי</RepresentatedOrRepresentativesNames>
        <RepresentatedOrRepresentativesCount>1</RepresentatedOrRepresentativesCount>
        <InvitedBy/>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279243401</CasePartyID>
        <PartyTypeID>1</PartyTypeID>
        <ActivityStatusID>1</ActivityStatusID>
        <PartyAliasID>3</PartyAliasID>
        <PartyAliasName>מבקש</PartyAliasName>
        <OrdinalNumber>1</OrdinalNumber>
        <LegalEntityID>80847120</LegalEntityID>
        <CaseLegalEntityID>122004564</CaseLegalEntityID>
        <AuthenticationTypeID>1</AuthenticationTypeID>
        <AuthenticationTypeName>ת"ז</AuthenticationTypeName>
        <IsMainPartyType>false</IsMainPartyType>
        <CaseDisplayIdentifier>39526-11-22</CaseDisplayIdentifier>
        <CaseTypeID>86</CaseTypeID>
        <CaseTypeName>תיק עזבונות (ת"ע)</CaseTypeName>
        <CaseName>הלוי נ' האפוטרופוס הכללי במחוז תל-אביב ואח'</CaseName>
        <FullAddress>בן גוריון 1 בני ברק </FullAddress>
        <MotionID>109984769</MotionID>
        <CasePleaID>0</CasePleaID>
        <LinkedCaseID>0</LinkedCaseID>
        <PartyID>1</PartyID>
        <CasePartyCategoryID>4</CasePartyCategoryID>
        <LegalEntityAddressID>87189835</LegalEntityAddressID>
        <PleaTypeID>60</PleaTypeID>
        <GroupPartyAlias>מבקשים</GroupPartyAlias>
        <IsConverted>false</IsConverted>
        <LegalEntityNameID>93961937</LegalEntityNameID>
        <RepresentatedNamesOfAssistant/>
        <LegalEntityTypeID>1</LegalEntityTypeID>
        <IsVerdictExists>false</IsVerdictExists>
        <IsAsirAzir>false</IsAsirAzir>
        <MainAndSecSpec/>
        <IsPublicationProhibited>false</IsPublicationProhibited>
        <PublicationProhibitedFullName>רות אנוש</PublicationProhibitedFullName>
      </CaseParties>
      <CaseParties>
        <PartyTypeName>צד</PartyTypeName>
        <ProceedingType>בקשות</ProceedingType>
        <PleaName>בקשה של נתבע 2 בקשה דחופה להורות למומחה להתעלם ממסמכים שנמסרו לו ע"י הנתבעת</PleaName>
        <PartyBelonging>צד ב'</PartyBelonging>
        <RoleName>משיב 1</RoleName>
        <IsSubProceeding>TRUE</IsSubProceeding>
        <FullName>עופרה פורטוני הלוי</FullName>
        <FirstName>עפרה פורטוני</FirstName>
        <LastName>הלוי</LastName>
        <PartyPropertyName/>
        <AuthenticationTypeAndNumber>ת"ז 054175211</AuthenticationTypeAndNumber>
        <RepresentatedOrRepresentativesNames>עמוס חכמון</RepresentatedOrRepresentativesNames>
        <RepresentatedOrRepresentativesCount>1</RepresentatedOrRepresentativesCount>
        <InvitedBy/>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279243402</CasePartyID>
        <PartyTypeID>1</PartyTypeID>
        <ActivityStatusID>1</ActivityStatusID>
        <PartyAliasID>4</PartyAliasID>
        <PartyAliasName>משיב</PartyAliasName>
        <OrdinalNumber>1</OrdinalNumber>
        <LegalEntityID>76852686</LegalEntityID>
        <CaseLegalEntityID>122004561</CaseLegalEntityID>
        <AuthenticationTypeID>1</AuthenticationTypeID>
        <AuthenticationTypeName>ת"ז</AuthenticationTypeName>
        <LegalEntityNumber>054175211</LegalEntityNumber>
        <IsMainPartyType>false</IsMainPartyType>
        <CaseDisplayIdentifier>39526-11-22</CaseDisplayIdentifier>
        <CaseTypeID>86</CaseTypeID>
        <CaseTypeName>תיק עזבונות (ת"ע)</CaseTypeName>
        <CaseName>הלוי נ' האפוטרופוס הכללי במחוז תל-אביב ואח'</CaseName>
        <FullAddress>הופיין  3 תל אביב -יפו </FullAddress>
        <MotionID>109984769</MotionID>
        <CasePleaID>0</CasePleaID>
        <FatherName>נסים</FatherName>
        <LinkedCaseID>0</LinkedCaseID>
        <PartyID>2</PartyID>
        <CasePartyCategoryID>4</CasePartyCategoryID>
        <LegalEntityAddressID>87189834</LegalEntityAddressID>
        <PleaTypeID>60</PleaTypeID>
        <GroupPartyAlias>משיבים</GroupPartyAlias>
        <IsConverted>false</IsConverted>
        <LegalEntityRegisteredNameID>7040485</LegalEntityRegisteredNameID>
        <LegalEntityNameID>93961936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עופרה פורטוני הלוי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עמוס חכמון</FullName>
        <FirstName>עמוס</FirstName>
        <LastName>חכמון</LastName>
        <PartyPropertyName/>
        <AuthenticationTypeAndNumber>מ.ר. 23481</AuthenticationTypeAndNumber>
        <RepresentatedOrRepresentativesNames>עופרה פורטוני הלוי</RepresentatedOrRepresentativesNames>
        <RepresentatedOrRepresentativesCount>1</RepresentatedOrRepresentativesCount>
        <InvitedBy/>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248069861</CasePartyID>
        <PartyTypeID>2</PartyTypeID>
        <ActivityStatusID>1</ActivityStatusID>
        <PartyAliasID>20</PartyAliasID>
        <PartyAliasName>בא כוח תובעים</PartyAliasName>
        <OrdinalNumber>1</OrdinalNumber>
        <LegalEntityID>381604</LegalEntityID>
        <CaseLegalEntityID>122004562</CaseLegalEntityID>
        <AuthenticationTypeID>4</AuthenticationTypeID>
        <AuthenticationTypeName>מ.ר.</AuthenticationTypeName>
        <LegalEntityNumber>23481</LegalEntityNumber>
        <IsMainPartyType>true</IsMainPartyType>
        <CaseDisplayIdentifier>39526-11-22</CaseDisplayIdentifier>
        <CaseTypeID>86</CaseTypeID>
        <CaseTypeName>תיק עזבונות (ת"ע)</CaseTypeName>
        <CaseName>הלוי נ' האפוטרופוס הכללי במחוז תל-אביב ואח'</CaseName>
        <FullAddress>קויפמן 6 תל אביב -יפו </FullAddress>
        <EmailAddress>court@hh-law.co.il</EmailAddress>
        <MotionID>0</MotionID>
        <CasePleaID>0</CasePleaID>
        <FatherName xml:space="preserve">        </FatherName>
        <LinkedCaseID>0</LinkedCaseID>
        <PartyID>1</PartyID>
        <CasePartyCategoryID>2</CasePartyCategoryID>
        <LegalEntityAddressID>70494711</LegalEntityAddressID>
        <LegalEntityEmailAddressID>67829155</LegalEntityEmailAddressID>
        <PleaTypeID>253</PleaTypeID>
        <LawyerOfficeName>משרד עו"ד: חזקיה-חכמון</LawyerOfficeName>
        <LawyerOfficeID>424917</LawyerOfficeID>
        <GroupPartyAlias/>
        <IsConverted>false</IsConverted>
        <LegalEntityNameID>2588</LegalEntityNameID>
        <RepresentatedNamesOfAssistant/>
        <LegalEntityTypeID>4</LegalEntityTypeID>
        <IsVerdictExists>false</IsVerdictExists>
        <IsAsirAzir>false</IsAsirAzir>
        <MainAndSecSpec/>
        <IsPublicationProhibited>false</IsPublicationProhibited>
        <PublicationProhibitedFullName>עמוס חכמון</PublicationProhibitedFullName>
      </CaseParties>
    </CasePartiesSelectionDS>
    <DecisionName>החלטה</DecisionName>
    <CourtDisplayName>בית משפט לענייני משפחה בתל אביב -יפו</CourtDisplayName>
    <IsCaseJudgePanel>false</IsCaseJudgePanel>
    <DecisionSignatureDate>2024-11-24T11:51:41.4919236+02:00</DecisionSignatureDate>
    <OpenCaseDate>2022-11-17T16:26:00+02:00</OpenCaseDate>
    <CaseFeeSum>0.000</CaseFeeSum>
    <DecisionTypeID>1</DecisionTypeID>
    <DecisionSignatureUserName>תומר שלם</DecisionSignatureUserName>
    <MotionID>109984769</MotionID>
    <DecisionSignatureDateHebrew>2024-11-24T11:51:41.4919236+02:00</DecisionSignatureDateHebrew>
    <MotionNumber>15</MotionNumber>
    <DecisionWriterID>032066839@GOV.IL</DecisionWriterID>
    <CourtAddress>רח' ויצמן 1, תל אביב -יפו 64239</CourtAddress>
    <IsAutoTextInCaseExist>false</IsAutoTextInCaseExist>
    <DecisionSignatureRoleName>שופט</DecisionSignatureRoleName>
    <DecisionSignatureUserTitleName>שופט</DecisionSignatureUserTitleName>
    <InMatterOfDescription>המנוח</InMatterOfDescription>
    <CaseName>הלוי נ' האפוטרופוס הכללי במחוז תל-אביב ואח'</CaseName>
    <DecisionNumberInCase>42</DecisionNumberInCase>
  </dt_Decision>
  <dt_DecisionCase>
    <DecisionID>0</DecisionID>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רון עוזרי</FullName>
        <FirstName>רון</FirstName>
        <LastName>עוזרי</LastName>
        <PartyPropertyName/>
        <AuthenticationTypeAndNumber>מ.ר. 26584</AuthenticationTypeAndNumber>
        <RepresentatedOrRepresentativesNames>רות אנוש</RepresentatedOrRepresentativesNames>
        <RepresentatedOrRepresentativesCount>1</RepresentatedOrRepresentativesCount>
        <InvitedBy/>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262394853</CasePartyID>
        <PartyTypeID>2</PartyTypeID>
        <ActivityStatusID>1</ActivityStatusID>
        <PartyAliasID>21</PartyAliasID>
        <PartyAliasName>בא כוח נתבעים</PartyAliasName>
        <LegalEntityID>391380</LegalEntityID>
        <CaseLegalEntityID>126588632</CaseLegalEntityID>
        <AuthenticationTypeID>4</AuthenticationTypeID>
        <AuthenticationTypeName>מ.ר.</AuthenticationTypeName>
        <LegalEntityNumber>26584</LegalEntityNumber>
        <IsMainPartyType>true</IsMainPartyType>
        <CaseDisplayIdentifier>39526-11-22</CaseDisplayIdentifier>
        <CaseTypeID>86</CaseTypeID>
        <CaseTypeName>תיק עזבונות (ת"ע)</CaseTypeName>
        <CaseName>הלוי נ' האפוטרופוס הכללי במחוז תל-אביב ואח'</CaseName>
        <FullAddress>הירקון 5 בני ברק מגדל לייף B</FullAddress>
        <EmailAddress>Ozery@elmaliah.com</EmailAddress>
        <MotionID>0</MotionID>
        <CasePleaID>0</CasePleaID>
        <LinkedCaseID>0</LinkedCaseID>
        <PartyID>2</PartyID>
        <CasePartyCategoryID>2</CasePartyCategoryID>
        <LegalEntityAddressID>88566289</LegalEntityAddressID>
        <LegalEntityEmailAddressID>68317036</LegalEntityEmailAddressID>
        <PleaTypeID>253</PleaTypeID>
        <LawyerOfficeName>משרד עו"ד: רון עוזרי</LawyerOfficeName>
        <LawyerOfficeID>432024</LawyerOfficeID>
        <GroupPartyAlias/>
        <IsConverted>false</IsConverted>
        <LegalEntityNameID>12364</LegalEntityNameID>
        <RepresentatedNamesOfAssistant/>
        <LegalEntityTypeID>4</LegalEntityTypeID>
        <IsVerdictExists>false</IsVerdictExists>
        <IsAsirAzir>false</IsAsirAzir>
        <MainAndSecSpec/>
        <IsPublicationProhibited>false</IsPublicationProhibited>
        <PublicationProhibitedFullName>רון עוזרי</PublicationProhibitedFullName>
      </CaseParties>
      <CaseParties>
        <PartyTypeName>מומחה</PartyTypeName>
        <ProceedingType>בית משפט</ProceedingType>
        <PleaName>כתב התנגדות בעזבונות</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278302376</CasePartyID>
        <PartyTypeID>5</PartyTypeID>
        <ActivityStatusID>1</ActivityStatusID>
        <PartyAliasID>102</PartyAliasID>
        <PartyAliasName>מומחה בית משפט</PartyAliasName>
        <LegalEntityID>12688421</LegalEntityID>
        <CaseLegalEntityID>132532552</CaseLegalEntityID>
        <AuthenticationTypeID>1</AuthenticationTypeID>
        <AuthenticationTypeName>ת"ז</AuthenticationTypeName>
        <LegalEntityNumber>050500784</LegalEntityNumber>
        <IsMainPartyType>true</IsMainPartyType>
        <CaseDisplayIdentifier>39526-11-22</CaseDisplayIdentifier>
        <CaseTypeID>86</CaseTypeID>
        <CaseTypeName>תיק עזבונות (ת"ע)</CaseTypeName>
        <CaseName>הלוי נ' האפוטרופוס הכללי במחוז תל-אביב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253</PleaTypeID>
        <GroupPartyAlias/>
        <IsConverted>false</IsConverted>
        <LegalEntityNameID>12423524</LegalEntityNameID>
        <RepresentatedNamesOfAssistant/>
        <LegalEntityTypeID>6</LegalEntityTypeID>
        <IsVerdictExists>false</IsVerdictExists>
        <IsAsirAzir>false</IsAsirAzir>
        <MainAndSecSpec/>
        <IsPublicationProhibited>false</IsPublicationProhibited>
        <PublicationProhibitedFullName>שמואל פניג</PublicationProhibitedFullName>
      </CaseParties>
      <CaseParties>
        <PartyTypeName>צד</PartyTypeName>
        <ProceedingType>בקשות</ProceedingType>
        <PleaName>בקשה של נתבע 2 בקשה דחופה להורות למומחה להתעלם ממסמכים שנמסרו לו ע"י הנתבעת</PleaName>
        <PartyBelonging>צד א'</PartyBelonging>
        <RoleName>מבקש 1</RoleName>
        <IsSubProceeding>TRUE</IsSubProceeding>
        <FullName>רות אנוש</FullName>
        <FirstName>רות</FirstName>
        <LastName>אנוש</LastName>
        <PartyPropertyName/>
        <AuthenticationTypeAndNumber>ת"ז </AuthenticationTypeAndNumber>
        <RepresentatedOrRepresentativesNames>רון עוזרי</RepresentatedOrRepresentativesNames>
        <RepresentatedOrRepresentativesCount>1</RepresentatedOrRepresentativesCount>
        <InvitedBy/>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279243401</CasePartyID>
        <PartyTypeID>1</PartyTypeID>
        <ActivityStatusID>1</ActivityStatusID>
        <PartyAliasID>3</PartyAliasID>
        <PartyAliasName>מבקש</PartyAliasName>
        <OrdinalNumber>1</OrdinalNumber>
        <LegalEntityID>80847120</LegalEntityID>
        <CaseLegalEntityID>122004564</CaseLegalEntityID>
        <AuthenticationTypeID>1</AuthenticationTypeID>
        <AuthenticationTypeName>ת"ז</AuthenticationTypeName>
        <IsMainPartyType>false</IsMainPartyType>
        <CaseDisplayIdentifier>39526-11-22</CaseDisplayIdentifier>
        <CaseTypeID>86</CaseTypeID>
        <CaseTypeName>תיק עזבונות (ת"ע)</CaseTypeName>
        <CaseName>הלוי נ' האפוטרופוס הכללי במחוז תל-אביב ואח'</CaseName>
        <FullAddress>בן גוריון 1 בני ברק </FullAddress>
        <MotionID>109984769</MotionID>
        <CasePleaID>0</CasePleaID>
        <LinkedCaseID>0</LinkedCaseID>
        <PartyID>1</PartyID>
        <CasePartyCategoryID>4</CasePartyCategoryID>
        <LegalEntityAddressID>87189835</LegalEntityAddressID>
        <PleaTypeID>60</PleaTypeID>
        <GroupPartyAlias>מבקשים</GroupPartyAlias>
        <IsConverted>false</IsConverted>
        <LegalEntityNameID>93961937</LegalEntityNameID>
        <RepresentatedNamesOfAssistant/>
        <LegalEntityTypeID>1</LegalEntityTypeID>
        <IsVerdictExists>false</IsVerdictExists>
        <IsAsirAzir>false</IsAsirAzir>
        <MainAndSecSpec/>
        <IsPublicationProhibited>false</IsPublicationProhibited>
        <PublicationProhibitedFullName>רות אנוש</PublicationProhibitedFullName>
      </CaseParties>
      <CaseParties>
        <PartyTypeName>צד</PartyTypeName>
        <ProceedingType>בקשות</ProceedingType>
        <PleaName>בקשה של נתבע 2 בקשה דחופה להורות למומחה להתעלם ממסמכים שנמסרו לו ע"י הנתבעת</PleaName>
        <PartyBelonging>צד ב'</PartyBelonging>
        <RoleName>משיב 1</RoleName>
        <IsSubProceeding>TRUE</IsSubProceeding>
        <FullName>עופרה פורטוני הלוי</FullName>
        <FirstName>עפרה פורטוני</FirstName>
        <LastName>הלוי</LastName>
        <PartyPropertyName/>
        <AuthenticationTypeAndNumber>ת"ז 054175211</AuthenticationTypeAndNumber>
        <RepresentatedOrRepresentativesNames>עמוס חכמון</RepresentatedOrRepresentativesNames>
        <RepresentatedOrRepresentativesCount>1</RepresentatedOrRepresentativesCount>
        <InvitedBy/>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279243402</CasePartyID>
        <PartyTypeID>1</PartyTypeID>
        <ActivityStatusID>1</ActivityStatusID>
        <PartyAliasID>4</PartyAliasID>
        <PartyAliasName>משיב</PartyAliasName>
        <OrdinalNumber>1</OrdinalNumber>
        <LegalEntityID>76852686</LegalEntityID>
        <CaseLegalEntityID>122004561</CaseLegalEntityID>
        <AuthenticationTypeID>1</AuthenticationTypeID>
        <AuthenticationTypeName>ת"ז</AuthenticationTypeName>
        <LegalEntityNumber>054175211</LegalEntityNumber>
        <IsMainPartyType>false</IsMainPartyType>
        <CaseDisplayIdentifier>39526-11-22</CaseDisplayIdentifier>
        <CaseTypeID>86</CaseTypeID>
        <CaseTypeName>תיק עזבונות (ת"ע)</CaseTypeName>
        <CaseName>הלוי נ' האפוטרופוס הכללי במחוז תל-אביב ואח'</CaseName>
        <FullAddress>הופיין  3 תל אביב -יפו </FullAddress>
        <MotionID>109984769</MotionID>
        <CasePleaID>0</CasePleaID>
        <FatherName>נסים</FatherName>
        <LinkedCaseID>0</LinkedCaseID>
        <PartyID>2</PartyID>
        <CasePartyCategoryID>4</CasePartyCategoryID>
        <LegalEntityAddressID>87189834</LegalEntityAddressID>
        <PleaTypeID>60</PleaTypeID>
        <GroupPartyAlias>משיבים</GroupPartyAlias>
        <IsConverted>false</IsConverted>
        <LegalEntityRegisteredNameID>7040485</LegalEntityRegisteredNameID>
        <LegalEntityNameID>93961936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עופרה פורטוני הלוי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עמוס חכמון</FullName>
        <FirstName>עמוס</FirstName>
        <LastName>חכמון</LastName>
        <PartyPropertyName/>
        <AuthenticationTypeAndNumber>מ.ר. 23481</AuthenticationTypeAndNumber>
        <RepresentatedOrRepresentativesNames>עופרה פורטוני הלוי</RepresentatedOrRepresentativesNames>
        <RepresentatedOrRepresentativesCount>1</RepresentatedOrRepresentativesCount>
        <InvitedBy/>
        <CaseID>79753161</CaseID>
        <CaseJudicialPersonPresentationDS>
          <CaseJudicalPersonActive>
            <CaseID>79753161</CaseID>
            <MotionID>109984769</MotionID>
            <JudicialPersonID>032066839@GOV.IL</JudicialPersonID>
            <JudicialPersonTypeID>1</JudicialPersonTypeID>
            <JudicialTypeID>1</JudicialTypeID>
            <IsChairman>false</IsChairman>
            <TreatmentStartDate>2024-10-31T06:51:15.593+02:00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248069861</CasePartyID>
        <PartyTypeID>2</PartyTypeID>
        <ActivityStatusID>1</ActivityStatusID>
        <PartyAliasID>20</PartyAliasID>
        <PartyAliasName>בא כוח תובעים</PartyAliasName>
        <OrdinalNumber>1</OrdinalNumber>
        <LegalEntityID>381604</LegalEntityID>
        <CaseLegalEntityID>122004562</CaseLegalEntityID>
        <AuthenticationTypeID>4</AuthenticationTypeID>
        <AuthenticationTypeName>מ.ר.</AuthenticationTypeName>
        <LegalEntityNumber>23481</LegalEntityNumber>
        <IsMainPartyType>true</IsMainPartyType>
        <CaseDisplayIdentifier>39526-11-22</CaseDisplayIdentifier>
        <CaseTypeID>86</CaseTypeID>
        <CaseTypeName>תיק עזבונות (ת"ע)</CaseTypeName>
        <CaseName>הלוי נ' האפוטרופוס הכללי במחוז תל-אביב ואח'</CaseName>
        <FullAddress>קויפמן 6 תל אביב -יפו </FullAddress>
        <EmailAddress>court@hh-law.co.il</EmailAddress>
        <MotionID>0</MotionID>
        <CasePleaID>0</CasePleaID>
        <FatherName xml:space="preserve">        </FatherName>
        <LinkedCaseID>0</LinkedCaseID>
        <PartyID>1</PartyID>
        <CasePartyCategoryID>2</CasePartyCategoryID>
        <LegalEntityAddressID>70494711</LegalEntityAddressID>
        <LegalEntityEmailAddressID>67829155</LegalEntityEmailAddressID>
        <PleaTypeID>253</PleaTypeID>
        <LawyerOfficeName>משרד עו"ד: חזקיה-חכמון</LawyerOfficeName>
        <LawyerOfficeID>424917</LawyerOfficeID>
        <GroupPartyAlias/>
        <IsConverted>false</IsConverted>
        <LegalEntityNameID>2588</LegalEntityNameID>
        <RepresentatedNamesOfAssistant/>
        <LegalEntityTypeID>4</LegalEntityTypeID>
        <IsVerdictExists>false</IsVerdictExists>
        <IsAsirAzir>false</IsAsirAzir>
        <MainAndSecSpec/>
        <IsPublicationProhibited>false</IsPublicationProhibited>
        <PublicationProhibitedFullName>עמוס חכמון</PublicationProhibitedFullName>
      </CaseParties>
    </CasePartiesSelectionDS>
    <CaseName>הלוי נ' האפוטרופוס הכללי במחוז תל-אביב ואח'</CaseName>
    <CaseDisplayIdentifier>39526-11-22</CaseDisplayIdentifier>
    <CaseInterestID>161</CaseInterestID>
    <CaseTypeShortName>ת"ע</CaseTypeShortName>
  </dt_DecisionCase>
  <dt_DecisionJudgePanel>
    <JudgeID>032066839@GOV.IL</JudgeID>
    <DisplayName>תומר שלם</DisplayName>
    <RoleName>שופט</RoleName>
    <UserTitleName>שופט</UserTitleName>
  </dt_DecisionJudgePanel>
  <dt_LegalEntityDetails>
    <Fax>03-6138231</Fax>
    <Phone>03-6138232</Phone>
    <AddressDesc>מגדל לייף B</AddressDesc>
    <PartyID>2</PartyID>
    <PartyTypeID>2</PartyTypeID>
    <DecisionID>0</DecisionID>
    <StreetName>הירקון 5</StreetName>
    <ZipCode>5120125</ZipCode>
    <CityName>בני ברק</CityName>
    <FullName>רון עוזרי</FullName>
    <Email>Ozery@elmaliah.com</Email>
    <IsPublicationProhibited>false</IsPublicationProhibited>
  </dt_LegalEntityDetails>
  <dt_LegalEntityDetails>
    <Fax>09-7446654</Fax>
    <Phone>09-7446358</Phone>
    <PartyTypeID>5</PartyTypeID>
    <DecisionID>0</DecisionID>
    <StreetName>דרך כפר הדר 37  ת"ד 83</StreetName>
    <ZipCode>45263</ZipCode>
    <CityName>הוד השרון</CityName>
    <FullName>שמואל  פניג</FullName>
    <Email>SHFENNIG@GMAIL.COM</Email>
    <IsPublicationProhibited>false</IsPublicationProhibited>
  </dt_LegalEntityDetails>
  <dt_LegalEntityDetails>
    <PartyID>1</PartyID>
    <PartyTypeID>1</PartyTypeID>
    <DecisionID>0</DecisionID>
    <StreetName>הופיין  3</StreetName>
    <CityName>תל אביב -יפו</CityName>
    <FullName>עופרה פורטוני  הלוי </FullName>
    <IsPublicationProhibited>false</IsPublicationProhibited>
  </dt_LegalEntityDetails>
  <dt_LegalEntityDetails>
    <Fax>03-6081123</Fax>
    <Phone>03-6081122</Phone>
    <PartyID>1</PartyID>
    <PartyTypeID>2</PartyTypeID>
    <DecisionID>0</DecisionID>
    <StreetName>קויפמן 6</StreetName>
    <ZipCode>68012</ZipCode>
    <CityName>תל אביב -יפו</CityName>
    <FullName>עמוס חכמון</FullName>
    <Email>court@hh-law.co.il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StreetName>בן גוריון 1</StreetName>
    <CityName>בני ברק</CityName>
    <FullName>רות אנוש</FullName>
    <IsPublicationProhibited>false</IsPublicationProhibited>
  </dt_LegalEntityDetails>
  <dt_LegalEntityDetails>
    <PartyID>2</PartyID>
    <PartyTypeID>1</PartyTypeID>
    <DecisionID>0</DecisionID>
    <FullName>עליזה אליס מאיר </FullName>
    <IsPublicationProhibited>false</IsPublicationProhibited>
  </dt_LegalEntityDetails>
  <dt_CaseJudicalPersonActive>
    <CaseJudicalPerson>שופט תומר שלם</CaseJudicalPerson>
  </dt_CaseJudicalPersonActive>
  <dt_Sitting>
    <FutureSittingDate>2025-05-15T10:00:00+03:00</FutureSittingDate>
    <PreviousMeetingDate>2024-11-13T13:00:00+02:00</PreviousMeetingDate>
    <NextSittingTypeID>2</NextSittingTypeID>
    <PreviousSittingTypeID>1</PreviousSittingTypeID>
    <NextMeetingDisplayName>שופט תומר שלם</NextMeetingDisplayName>
    <NextMeetingRoleName>שופט</NextMeetingRoleName>
    <NextMeetingUserTitleName>שופט</NextMeetingUserTitleName>
    <NextMeetingUserUPN>032066839@GOV.IL</NextMeetingUserUPN>
    <PreviousMeetingDisplayName>שופט תומר שלם</PreviousMeetingDisplayName>
    <PreviousMeetingRoleName>שופט</PreviousMeetingRoleName>
    <PreviousMeetingUserTitleName>שופט</PreviousMeetingUserTitleName>
    <PreviousMeetingUserUPN>032066839@GOV.IL</PreviousMeetingUserUPN>
  </dt_Sitting>
  <dt_InMatterOfCase>
    <InMatterOfCaseID>108389</InMatterOfCaseID>
    <AuthenticationTypeID>1</AuthenticationTypeID>
    <AuthenticationNumber>001222322</AuthenticationNumber>
    <FirstName>עליזה אליס</FirstName>
    <LastName>מאיר</LastName>
  </dt_InMatterOfCase>
</DecisionTemplateDS>
</file>

<file path=customXml/itemProps1.xml><?xml version="1.0" encoding="utf-8"?>
<ds:datastoreItem xmlns:ds="http://schemas.openxmlformats.org/officeDocument/2006/customXml" ds:itemID="{26FC6FEA-A4BD-4E57-ABF4-331E45DF9D9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1032</Words>
  <Characters>5160</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2024-11-26T06:06:00Z</dcterms:created>
  <dcterms:modified xsi:type="dcterms:W3CDTF">2024-11-26T06:06:00Z</dcterms:modified>
</cp:coreProperties>
</file>